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2.4 Milestone — Identity Infrastructure Foundations</w:t>
      </w:r>
    </w:p>
    <w:p>
      <w:pPr>
        <w:jc w:val="center"/>
      </w:pPr>
      <w:r>
        <w:rPr>
          <w:i/>
        </w:rPr>
        <w:t>Operation Signal Forge</w:t>
        <w:br/>
        <w:t>Phase 2.4 • August 13, 2026 • STATUS: PASS</w:t>
      </w:r>
    </w:p>
    <w:p>
      <w:pPr>
        <w:pStyle w:val="Heading1"/>
      </w:pPr>
      <w:r>
        <w:t>1. Milestone Summary</w:t>
      </w:r>
    </w:p>
    <w:p>
      <w:r>
        <w:t>Phase 2.4 — Identity Infrastructure Foundations has been successfully implemented and validated. The phase established foundational identity infrastructure required for future decentralized identity and privacy-preserving authorization while preserving the existing credential lifecycle and Trust Registry architecture.</w:t>
      </w:r>
    </w:p>
    <w:p>
      <w:pPr>
        <w:pStyle w:val="Heading1"/>
      </w:pPr>
      <w:r>
        <w:t>2. Phase 2.4 Scope</w:t>
      </w:r>
    </w:p>
    <w:p>
      <w:r>
        <w:t>The implementation covered the five defined Phase 2.4 capabilities:</w:t>
      </w:r>
    </w:p>
    <w:p>
      <w:pPr>
        <w:pStyle w:val="ListBullet"/>
      </w:pPr>
      <w:r>
        <w:t>DID document model</w:t>
      </w:r>
    </w:p>
    <w:p>
      <w:pPr>
        <w:pStyle w:val="ListBullet"/>
      </w:pPr>
      <w:r>
        <w:t>Local DID resolution</w:t>
      </w:r>
    </w:p>
    <w:p>
      <w:pPr>
        <w:pStyle w:val="ListBullet"/>
      </w:pPr>
      <w:r>
        <w:t>Holder key rotation</w:t>
      </w:r>
    </w:p>
    <w:p>
      <w:pPr>
        <w:pStyle w:val="ListBullet"/>
      </w:pPr>
      <w:r>
        <w:t>Subject binding / proof-of-possession</w:t>
      </w:r>
    </w:p>
    <w:p>
      <w:pPr>
        <w:pStyle w:val="ListBullet"/>
      </w:pPr>
      <w:r>
        <w:t>Person / Organization / Role identity model</w:t>
      </w:r>
    </w:p>
    <w:p>
      <w:r>
        <w:t>The implementation intentionally did not introduce:</w:t>
      </w:r>
    </w:p>
    <w:p>
      <w:pPr>
        <w:pStyle w:val="ListBullet"/>
      </w:pPr>
      <w:r>
        <w:t>Zero-Knowledge Proofs</w:t>
      </w:r>
    </w:p>
    <w:p>
      <w:pPr>
        <w:pStyle w:val="ListBullet"/>
      </w:pPr>
      <w:r>
        <w:t>External DID networks</w:t>
      </w:r>
    </w:p>
    <w:p>
      <w:pPr>
        <w:pStyle w:val="ListBullet"/>
      </w:pPr>
      <w:r>
        <w:t>Blockchain identity infrastructure</w:t>
      </w:r>
    </w:p>
    <w:p>
      <w:pPr>
        <w:pStyle w:val="ListBullet"/>
      </w:pPr>
      <w:r>
        <w:t>Credential lifecycle redesign</w:t>
      </w:r>
    </w:p>
    <w:p>
      <w:pPr>
        <w:pStyle w:val="ListBullet"/>
      </w:pPr>
      <w:r>
        <w:t>Trust Registry redesign</w:t>
      </w:r>
    </w:p>
    <w:p>
      <w:pPr>
        <w:pStyle w:val="ListBullet"/>
      </w:pPr>
      <w:r>
        <w:t>Authorization Matrix redesign</w:t>
      </w:r>
    </w:p>
    <w:p>
      <w:pPr>
        <w:pStyle w:val="ListBullet"/>
      </w:pPr>
      <w:r>
        <w:t>Capability Layer redesign</w:t>
      </w:r>
    </w:p>
    <w:p>
      <w:pPr>
        <w:pStyle w:val="Heading1"/>
      </w:pPr>
      <w:r>
        <w:t>3. Architectural Principle Preserved</w:t>
      </w:r>
    </w:p>
    <w:p>
      <w:r>
        <w:t>The primary architectural rule for Phase 2.4 was:</w:t>
      </w:r>
    </w:p>
    <w:p>
      <w:r>
        <w:rPr>
          <w:b/>
        </w:rPr>
        <w:t>Phase 2.4 must not redefine the existing credential lifecycle.</w:t>
      </w:r>
    </w:p>
    <w:p>
      <w:r>
        <w:t>The credential lifecycle and identity lifecycle remain separate. Holder key rotation remains distinct from credential rotation.</w:t>
      </w:r>
    </w:p>
    <w:p>
      <w:pPr>
        <w:pStyle w:val="Heading1"/>
      </w:pPr>
      <w:r>
        <w:t>4. 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Phase 2.4 identity infrastructure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Phase 2.2 renewal / rotation</w:t>
            </w:r>
          </w:p>
        </w:tc>
        <w:tc>
          <w:tcPr>
            <w:tcW w:type="dxa" w:w="4320"/>
          </w:tcPr>
          <w:p>
            <w:r>
              <w:t>12/12 PASS</w:t>
            </w:r>
          </w:p>
        </w:tc>
      </w:tr>
      <w:tr>
        <w:tc>
          <w:tcPr>
            <w:tcW w:type="dxa" w:w="4320"/>
          </w:tcPr>
          <w:p>
            <w:r>
              <w:t>Phase 2.3 trust governance</w:t>
            </w:r>
          </w:p>
        </w:tc>
        <w:tc>
          <w:tcPr>
            <w:tcW w:type="dxa" w:w="4320"/>
          </w:tcPr>
          <w:p>
            <w:r>
              <w:t>12/12 PASS</w:t>
            </w:r>
          </w:p>
        </w:tc>
      </w:tr>
      <w:tr>
        <w:tc>
          <w:tcPr>
            <w:tcW w:type="dxa" w:w="4320"/>
          </w:tcPr>
          <w:p>
            <w:r>
              <w:t>Combined validation</w:t>
            </w:r>
          </w:p>
        </w:tc>
        <w:tc>
          <w:tcPr>
            <w:tcW w:type="dxa" w:w="4320"/>
          </w:tcPr>
          <w:p>
            <w:r>
              <w:t>37/37 PASS</w:t>
            </w:r>
          </w:p>
        </w:tc>
      </w:tr>
    </w:tbl>
    <w:p>
      <w:pPr>
        <w:pStyle w:val="Heading1"/>
      </w:pPr>
      <w:r>
        <w:t>5. Architectural Significance</w:t>
      </w:r>
    </w:p>
    <w:p>
      <w:r>
        <w:t>The regression suites demonstrate that the new identity infrastructure was introduced without breaking the previously established credential lifecycle or Trust Registry governance system. Identity infrastructure, identity/key lifecycle, subject binding, credential lifecycle, and Trust Registry governance remain distinct architectural concerns.</w:t>
      </w:r>
    </w:p>
    <w:p>
      <w:pPr>
        <w:pStyle w:val="Heading1"/>
      </w:pPr>
      <w:r>
        <w:t>6. Regression Integrity</w:t>
      </w:r>
    </w:p>
    <w:p>
      <w:pPr>
        <w:pStyle w:val="ListBullet"/>
      </w:pPr>
      <w:r>
        <w:t>Credential renewal preserved</w:t>
      </w:r>
    </w:p>
    <w:p>
      <w:pPr>
        <w:pStyle w:val="ListBullet"/>
      </w:pPr>
      <w:r>
        <w:t>Credential rotation preserved</w:t>
      </w:r>
    </w:p>
    <w:p>
      <w:pPr>
        <w:pStyle w:val="ListBullet"/>
      </w:pPr>
      <w:r>
        <w:t>Trust Registry governance preserved</w:t>
      </w:r>
    </w:p>
    <w:p>
      <w:pPr>
        <w:pStyle w:val="ListBullet"/>
      </w:pPr>
      <w:r>
        <w:t>Existing identity authorization boundaries preserved</w:t>
      </w:r>
    </w:p>
    <w:p>
      <w:pPr>
        <w:pStyle w:val="ListBullet"/>
      </w:pPr>
      <w:r>
        <w:t>Existing governance behavior preserved</w:t>
      </w:r>
    </w:p>
    <w:p>
      <w:r>
        <w:t>No regression was identified in the tested Phase 2.2 or Phase 2.3 functionality.</w:t>
      </w:r>
    </w:p>
    <w:p>
      <w:pPr>
        <w:pStyle w:val="Heading1"/>
      </w:pPr>
      <w:r>
        <w:t>7. ZKP Status</w:t>
      </w:r>
    </w:p>
    <w:p>
      <w:r>
        <w:t>Zero-Knowledge Proof functionality remains deferred. Phase 2.4 establishes identity infrastructure required to support future privacy-preserving identity mechanisms without prematurely introducing ZKP dependencies.</w:t>
      </w:r>
    </w:p>
    <w:p>
      <w:r>
        <w:t>Intended progression: Identity Infrastructure → Subject Binding → Selective Disclosure → Future ZKP Layer → Privacy-Preserving Authorization</w:t>
      </w:r>
    </w:p>
    <w:p>
      <w:pPr>
        <w:pStyle w:val="Heading1"/>
      </w:pPr>
      <w:r>
        <w:t>8. Milestone Assessment</w:t>
      </w:r>
    </w:p>
    <w:p>
      <w:r>
        <w:t>Phase 2.4 — Identity Infrastructure Foundations: COMPLETE</w:t>
      </w:r>
    </w:p>
    <w:p>
      <w:pPr>
        <w:pStyle w:val="ListBullet"/>
      </w:pPr>
      <w:r>
        <w:t>Implementation: PASS</w:t>
      </w:r>
    </w:p>
    <w:p>
      <w:pPr>
        <w:pStyle w:val="ListBullet"/>
      </w:pPr>
      <w:r>
        <w:t>Phase 2.4 Tests: 13/13 PASS</w:t>
      </w:r>
    </w:p>
    <w:p>
      <w:pPr>
        <w:pStyle w:val="ListBullet"/>
      </w:pPr>
      <w:r>
        <w:t>Phase 2.2 Regression: 12/12 PASS</w:t>
      </w:r>
    </w:p>
    <w:p>
      <w:pPr>
        <w:pStyle w:val="ListBullet"/>
      </w:pPr>
      <w:r>
        <w:t>Phase 2.3 Regression: 12/12 PASS</w:t>
      </w:r>
    </w:p>
    <w:p>
      <w:pPr>
        <w:pStyle w:val="ListBullet"/>
      </w:pPr>
      <w:r>
        <w:t>Combined Validation: 37/37 PASS</w:t>
      </w:r>
    </w:p>
    <w:p>
      <w:r>
        <w:rPr>
          <w:b/>
        </w:rPr>
        <w:t>Architectural assessment: Phase 2.4 successfully expanded the Identity Layer while preserving the existing credential lifecycle and Trust Registry governance boundaries.</w:t>
      </w:r>
    </w:p>
    <w:p>
      <w:pPr>
        <w:pStyle w:val="Heading1"/>
      </w:pPr>
      <w:r>
        <w:t>9. Next Recommended Artifact</w:t>
      </w:r>
    </w:p>
    <w:p>
      <w:r>
        <w:t>The next recommended artifact is the Phase 2.4 Architecture Audit, covering DID infrastructure boundaries, identity-versus-credential lifecycle separation, subject binding, key rotation isolation, Trust Registry and authorization boundaries, Capability Layer isolation, ZKP deferral, regression evidence, and compliance implications.</w:t>
      </w:r>
    </w:p>
    <w:p>
      <w:pPr>
        <w:jc w:val="center"/>
      </w:pPr>
      <w:r>
        <w:rPr>
          <w:b/>
        </w:rPr>
        <w:t>MILESTONE RECORDED — PHASE 2.4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