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Phase 2.5 — Implementation &amp; Validation Milestone: COMPLETE</w:t>
      </w:r>
    </w:p>
    <w:p>
      <w:pPr>
        <w:spacing w:after="160"/>
      </w:pPr>
      <w:r>
        <w:rPr>
          <w:b/>
          <w:bCs/>
        </w:rPr>
        <w:t xml:space="preserve">Created by:</w:t>
      </w:r>
      <w:r>
        <w:t xml:space="preserve"> Claude</w:t>
      </w:r>
    </w:p>
    <w:p>
      <w:pPr>
        <w:spacing w:after="160"/>
      </w:pPr>
      <w:r>
        <w:rPr>
          <w:b/>
          <w:bCs/>
        </w:rPr>
        <w:t xml:space="preserve">Model:</w:t>
      </w:r>
      <w:r>
        <w:t xml:space="preserve"> Sonnet 5</w:t>
      </w:r>
    </w:p>
    <w:p>
      <w:pPr>
        <w:spacing w:after="160"/>
      </w:pPr>
      <w:r>
        <w:rPr>
          <w:b/>
          <w:bCs/>
        </w:rPr>
        <w:t xml:space="preserve">Time of record:</w:t>
      </w:r>
      <w:r>
        <w:t xml:space="preserve"> 2026-08-14</w:t>
      </w:r>
    </w:p>
    <w:p>
      <w:pPr>
        <w:spacing w:after="160"/>
      </w:pPr>
      <w:r>
        <w:rPr>
          <w:b/>
          <w:bCs/>
        </w:rPr>
        <w:t xml:space="preserve">Predecessor:</w:t>
      </w:r>
      <w:r>
        <w:t xml:space="preserve"> Phase 2.4 — Identity Infrastructure Foundations</w:t>
      </w:r>
    </w:p>
    <w:p>
      <w:pPr>
        <w:spacing w:after="160"/>
      </w:pPr>
      <w:r>
        <w:rPr>
          <w:b/>
          <w:bCs/>
        </w:rPr>
        <w:t xml:space="preserve">Status:</w:t>
      </w:r>
      <w:r>
        <w:t xml:space="preserve"> COMPLETE</w:t>
      </w:r>
    </w:p>
    <w:p>
      <w:pPr>
        <w:spacing w:after="160"/>
      </w:pPr>
      <w:r>
        <w:rPr>
          <w:b/>
          <w:bCs/>
        </w:rPr>
        <w:t xml:space="preserve">Basis:</w:t>
      </w:r>
      <w:r>
        <w:t xml:space="preserve"> Phase 2.5 Architecture Audit — Final Verification (ARCHITECTURE AUDIT — PASS, 50/50 regression)</w:t>
      </w:r>
    </w:p>
    <w:p>
      <w:pPr>
        <w:pStyle w:val="Heading2"/>
        <w:spacing w:after="120" w:before="240"/>
      </w:pPr>
      <w:r>
        <w:rPr>
          <w:b/>
          <w:bCs/>
        </w:rPr>
        <w:t xml:space="preserve">Milestone summary</w:t>
      </w:r>
    </w:p>
    <w:p>
      <w:pPr>
        <w:spacing w:after="160"/>
      </w:pPr>
      <w:r>
        <w:t xml:space="preserve">Phase 2.5 — Identity Operational Hardening &amp; Interoperability Foundations is complete. All five planned workstreams were implemented, verified against the primary credential-lifecycle invariant, and passed final architecture audit with a full 50/50 regression suite. All nine cross-phase invariants remain preserved. A downstream Compliance Impact Assessment has been initiated to translate these findings into a compliance-facing posture; it does not reopen or modify anything recorded here.</w:t>
      </w:r>
    </w:p>
    <w:p>
      <w:pPr>
        <w:pStyle w:val="Heading2"/>
        <w:spacing w:after="120" w:before="240"/>
      </w:pPr>
      <w:r>
        <w:rPr>
          <w:b/>
          <w:bCs/>
        </w:rPr>
        <w:t xml:space="preserve">Scope delivered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gridCol w:w="1800"/>
      </w:tblGrid>
      <w:tr>
        <w:trPr>
          <w:cantSplit/>
        </w:trPr>
        <w:tc>
          <w:tcPr>
            <w:tcW w:type="dxa" w:w="3400"/>
            <w:shd w:fill="DDE6F0" w:val="clear"/>
            <w:tcMar>
              <w:top w:type="dxa" w:w="80"/>
              <w:left w:type="dxa" w:w="100"/>
              <w:bottom w:type="dxa" w:w="80"/>
              <w:right w:type="dxa" w:w="100"/>
            </w:tcMar>
          </w:tcPr>
          <w:p>
            <w:r>
              <w:rPr>
                <w:b/>
                <w:bCs/>
              </w:rPr>
              <w:t xml:space="preserve">Workstream</w:t>
            </w:r>
          </w:p>
        </w:tc>
        <w:tc>
          <w:tcPr>
            <w:tcW w:type="dxa" w:w="4800"/>
            <w:shd w:fill="DDE6F0" w:val="clear"/>
            <w:tcMar>
              <w:top w:type="dxa" w:w="80"/>
              <w:left w:type="dxa" w:w="100"/>
              <w:bottom w:type="dxa" w:w="80"/>
              <w:right w:type="dxa" w:w="100"/>
            </w:tcMar>
          </w:tcPr>
          <w:p>
            <w:r>
              <w:rPr>
                <w:b/>
                <w:bCs/>
              </w:rPr>
              <w:t xml:space="preserve">Description</w:t>
            </w:r>
          </w:p>
        </w:tc>
        <w:tc>
          <w:tcPr>
            <w:tcW w:type="dxa" w:w="1800"/>
            <w:shd w:fill="DDE6F0" w:val="clear"/>
            <w:tcMar>
              <w:top w:type="dxa" w:w="80"/>
              <w:left w:type="dxa" w:w="100"/>
              <w:bottom w:type="dxa" w:w="80"/>
              <w:right w:type="dxa" w:w="100"/>
            </w:tcMar>
          </w:tcPr>
          <w:p>
            <w:r>
              <w:rPr>
                <w:b/>
                <w:bCs/>
              </w:rPr>
              <w:t xml:space="preserve">Result</w:t>
            </w:r>
          </w:p>
        </w:tc>
      </w:tr>
      <w:tr>
        <w:trPr>
          <w:cantSplit/>
        </w:trPr>
        <w:tc>
          <w:tcPr>
            <w:tcW w:type="dxa" w:w="3400"/>
            <w:tcMar>
              <w:top w:type="dxa" w:w="80"/>
              <w:left w:type="dxa" w:w="100"/>
              <w:bottom w:type="dxa" w:w="80"/>
              <w:right w:type="dxa" w:w="100"/>
            </w:tcMar>
          </w:tcPr>
          <w:p>
            <w:r>
              <w:t xml:space="preserve">A — Durable nonce handling</w:t>
            </w:r>
          </w:p>
        </w:tc>
        <w:tc>
          <w:tcPr>
            <w:tcW w:type="dxa" w:w="4800"/>
            <w:tcMar>
              <w:top w:type="dxa" w:w="80"/>
              <w:left w:type="dxa" w:w="100"/>
              <w:bottom w:type="dxa" w:w="80"/>
              <w:right w:type="dxa" w:w="100"/>
            </w:tcMar>
          </w:tcPr>
          <w:p>
            <w:r>
              <w:t xml:space="preserve">Nonce/challenge model moved beyond process-local state to a restart-durable store with TTL, crash-safe consumption, and replay detection</w:t>
            </w:r>
          </w:p>
        </w:tc>
        <w:tc>
          <w:tcPr>
            <w:tcW w:type="dxa" w:w="1800"/>
            <w:tcMar>
              <w:top w:type="dxa" w:w="80"/>
              <w:left w:type="dxa" w:w="100"/>
              <w:bottom w:type="dxa" w:w="80"/>
              <w:right w:type="dxa" w:w="100"/>
            </w:tcMar>
          </w:tcPr>
          <w:p>
            <w:r>
              <w:t xml:space="preserve">PASS</w:t>
            </w:r>
          </w:p>
        </w:tc>
      </w:tr>
      <w:tr>
        <w:trPr>
          <w:cantSplit/>
        </w:trPr>
        <w:tc>
          <w:tcPr>
            <w:tcW w:type="dxa" w:w="3400"/>
            <w:tcMar>
              <w:top w:type="dxa" w:w="80"/>
              <w:left w:type="dxa" w:w="100"/>
              <w:bottom w:type="dxa" w:w="80"/>
              <w:right w:type="dxa" w:w="100"/>
            </w:tcMar>
          </w:tcPr>
          <w:p>
            <w:r>
              <w:t xml:space="preserve">B — DID method policy</w:t>
            </w:r>
          </w:p>
        </w:tc>
        <w:tc>
          <w:tcPr>
            <w:tcW w:type="dxa" w:w="4800"/>
            <w:tcMar>
              <w:top w:type="dxa" w:w="80"/>
              <w:left w:type="dxa" w:w="100"/>
              <w:bottom w:type="dxa" w:w="80"/>
              <w:right w:type="dxa" w:w="100"/>
            </w:tcMar>
          </w:tcPr>
          <w:p>
            <w:r>
              <w:t xml:space="preserve">Accepted and locally-managed DID methods explicitly scoped to did:key; local resolution baseline enforced; no anonymous degrade on unsupported methods</w:t>
            </w:r>
          </w:p>
        </w:tc>
        <w:tc>
          <w:tcPr>
            <w:tcW w:type="dxa" w:w="1800"/>
            <w:tcMar>
              <w:top w:type="dxa" w:w="80"/>
              <w:left w:type="dxa" w:w="100"/>
              <w:bottom w:type="dxa" w:w="80"/>
              <w:right w:type="dxa" w:w="100"/>
            </w:tcMar>
          </w:tcPr>
          <w:p>
            <w:r>
              <w:t xml:space="preserve">PASS</w:t>
            </w:r>
          </w:p>
        </w:tc>
      </w:tr>
      <w:tr>
        <w:trPr>
          <w:cantSplit/>
        </w:trPr>
        <w:tc>
          <w:tcPr>
            <w:tcW w:type="dxa" w:w="3400"/>
            <w:tcMar>
              <w:top w:type="dxa" w:w="80"/>
              <w:left w:type="dxa" w:w="100"/>
              <w:bottom w:type="dxa" w:w="80"/>
              <w:right w:type="dxa" w:w="100"/>
            </w:tcMar>
          </w:tcPr>
          <w:p>
            <w:r>
              <w:t xml:space="preserve">C — Recovery foundations</w:t>
            </w:r>
          </w:p>
        </w:tc>
        <w:tc>
          <w:tcPr>
            <w:tcW w:type="dxa" w:w="4800"/>
            <w:tcMar>
              <w:top w:type="dxa" w:w="80"/>
              <w:left w:type="dxa" w:w="100"/>
              <w:bottom w:type="dxa" w:w="80"/>
              <w:right w:type="dxa" w:w="100"/>
            </w:tcMar>
          </w:tcPr>
          <w:p>
            <w:r>
              <w:t xml:space="preserve">Recovery triggers, approver role, and policy boundary defined at the policy level; executor intentionally left unimplemented</w:t>
            </w:r>
          </w:p>
        </w:tc>
        <w:tc>
          <w:tcPr>
            <w:tcW w:type="dxa" w:w="1800"/>
            <w:tcMar>
              <w:top w:type="dxa" w:w="80"/>
              <w:left w:type="dxa" w:w="100"/>
              <w:bottom w:type="dxa" w:w="80"/>
              <w:right w:type="dxa" w:w="100"/>
            </w:tcMar>
          </w:tcPr>
          <w:p>
            <w:r>
              <w:t xml:space="preserve">PASS</w:t>
            </w:r>
          </w:p>
        </w:tc>
      </w:tr>
      <w:tr>
        <w:trPr>
          <w:cantSplit/>
        </w:trPr>
        <w:tc>
          <w:tcPr>
            <w:tcW w:type="dxa" w:w="3400"/>
            <w:tcMar>
              <w:top w:type="dxa" w:w="80"/>
              <w:left w:type="dxa" w:w="100"/>
              <w:bottom w:type="dxa" w:w="80"/>
              <w:right w:type="dxa" w:w="100"/>
            </w:tcMar>
          </w:tcPr>
          <w:p>
            <w:r>
              <w:t xml:space="preserve">D — Presentation-proof logging &amp; retention</w:t>
            </w:r>
          </w:p>
        </w:tc>
        <w:tc>
          <w:tcPr>
            <w:tcW w:type="dxa" w:w="4800"/>
            <w:tcMar>
              <w:top w:type="dxa" w:w="80"/>
              <w:left w:type="dxa" w:w="100"/>
              <w:bottom w:type="dxa" w:w="80"/>
              <w:right w:type="dxa" w:w="100"/>
            </w:tcMar>
          </w:tcPr>
          <w:p>
            <w:r>
              <w:t xml:space="preserve">Proof-event logging scoped to audit metadata only; authentication material excluded; identity logs isolated from operational telemetry</w:t>
            </w:r>
          </w:p>
        </w:tc>
        <w:tc>
          <w:tcPr>
            <w:tcW w:type="dxa" w:w="1800"/>
            <w:tcMar>
              <w:top w:type="dxa" w:w="80"/>
              <w:left w:type="dxa" w:w="100"/>
              <w:bottom w:type="dxa" w:w="80"/>
              <w:right w:type="dxa" w:w="100"/>
            </w:tcMar>
          </w:tcPr>
          <w:p>
            <w:r>
              <w:t xml:space="preserve">PASS</w:t>
            </w:r>
          </w:p>
        </w:tc>
      </w:tr>
      <w:tr>
        <w:trPr>
          <w:cantSplit/>
        </w:trPr>
        <w:tc>
          <w:tcPr>
            <w:tcW w:type="dxa" w:w="3400"/>
            <w:tcMar>
              <w:top w:type="dxa" w:w="80"/>
              <w:left w:type="dxa" w:w="100"/>
              <w:bottom w:type="dxa" w:w="80"/>
              <w:right w:type="dxa" w:w="100"/>
            </w:tcMar>
          </w:tcPr>
          <w:p>
            <w:r>
              <w:t xml:space="preserve">E — ZKP / selective-disclosure boundary</w:t>
            </w:r>
          </w:p>
        </w:tc>
        <w:tc>
          <w:tcPr>
            <w:tcW w:type="dxa" w:w="4800"/>
            <w:tcMar>
              <w:top w:type="dxa" w:w="80"/>
              <w:left w:type="dxa" w:w="100"/>
              <w:bottom w:type="dxa" w:w="80"/>
              <w:right w:type="dxa" w:w="100"/>
            </w:tcMar>
          </w:tcPr>
          <w:p>
            <w:r>
              <w:t xml:space="preserve">Interfaces confirmed extensible; no ZKP libraries or selective-disclosure logic introduced; Capability Layer left uncoupled from proof technology</w:t>
            </w:r>
          </w:p>
        </w:tc>
        <w:tc>
          <w:tcPr>
            <w:tcW w:type="dxa" w:w="1800"/>
            <w:tcMar>
              <w:top w:type="dxa" w:w="80"/>
              <w:left w:type="dxa" w:w="100"/>
              <w:bottom w:type="dxa" w:w="80"/>
              <w:right w:type="dxa" w:w="100"/>
            </w:tcMar>
          </w:tcPr>
          <w:p>
            <w:r>
              <w:t xml:space="preserve">PASS (deferred by design)</w:t>
            </w:r>
          </w:p>
        </w:tc>
      </w:tr>
    </w:tbl>
    <w:p>
      <w:pPr>
        <w:pStyle w:val="Heading2"/>
        <w:spacing w:after="120" w:before="240"/>
      </w:pPr>
      <w:r>
        <w:rPr>
          <w:b/>
          <w:bCs/>
        </w:rPr>
        <w:t xml:space="preserve">Architecture verification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200"/>
        <w:gridCol w:w="2800"/>
      </w:tblGrid>
      <w:tr>
        <w:trPr>
          <w:cantSplit/>
        </w:trPr>
        <w:tc>
          <w:tcPr>
            <w:tcW w:type="dxa" w:w="7200"/>
            <w:shd w:fill="DDE6F0" w:val="clear"/>
            <w:tcMar>
              <w:top w:type="dxa" w:w="80"/>
              <w:left w:type="dxa" w:w="100"/>
              <w:bottom w:type="dxa" w:w="80"/>
              <w:right w:type="dxa" w:w="100"/>
            </w:tcMar>
          </w:tcPr>
          <w:p>
            <w:r>
              <w:rPr>
                <w:b/>
                <w:bCs/>
              </w:rPr>
              <w:t xml:space="preserve">Check</w:t>
            </w:r>
          </w:p>
        </w:tc>
        <w:tc>
          <w:tcPr>
            <w:tcW w:type="dxa" w:w="2800"/>
            <w:shd w:fill="DDE6F0" w:val="clear"/>
            <w:tcMar>
              <w:top w:type="dxa" w:w="80"/>
              <w:left w:type="dxa" w:w="100"/>
              <w:bottom w:type="dxa" w:w="80"/>
              <w:right w:type="dxa" w:w="100"/>
            </w:tcMar>
          </w:tcPr>
          <w:p>
            <w:r>
              <w:rPr>
                <w:b/>
                <w:bCs/>
              </w:rPr>
              <w:t xml:space="preserve">Result</w:t>
            </w:r>
          </w:p>
        </w:tc>
      </w:tr>
      <w:tr>
        <w:trPr>
          <w:cantSplit/>
        </w:trPr>
        <w:tc>
          <w:tcPr>
            <w:tcW w:type="dxa" w:w="7200"/>
            <w:tcMar>
              <w:top w:type="dxa" w:w="80"/>
              <w:left w:type="dxa" w:w="100"/>
              <w:bottom w:type="dxa" w:w="80"/>
              <w:right w:type="dxa" w:w="100"/>
            </w:tcMar>
          </w:tcPr>
          <w:p>
            <w:r>
              <w:t xml:space="preserve">Primary invariant — credential lifecycle (issue/present/renew/rotate/revoke unchanged)</w:t>
            </w:r>
          </w:p>
        </w:tc>
        <w:tc>
          <w:tcPr>
            <w:tcW w:type="dxa" w:w="2800"/>
            <w:tcMar>
              <w:top w:type="dxa" w:w="80"/>
              <w:left w:type="dxa" w:w="100"/>
              <w:bottom w:type="dxa" w:w="80"/>
              <w:right w:type="dxa" w:w="100"/>
            </w:tcMar>
          </w:tcPr>
          <w:p>
            <w:r>
              <w:t xml:space="preserve">PASS</w:t>
            </w:r>
          </w:p>
        </w:tc>
      </w:tr>
      <w:tr>
        <w:trPr>
          <w:cantSplit/>
        </w:trPr>
        <w:tc>
          <w:tcPr>
            <w:tcW w:type="dxa" w:w="7200"/>
            <w:tcMar>
              <w:top w:type="dxa" w:w="80"/>
              <w:left w:type="dxa" w:w="100"/>
              <w:bottom w:type="dxa" w:w="80"/>
              <w:right w:type="dxa" w:w="100"/>
            </w:tcMar>
          </w:tcPr>
          <w:p>
            <w:r>
              <w:t xml:space="preserve">Nonce store confirmed as plumbing only (PoP semantics unchanged)</w:t>
            </w:r>
          </w:p>
        </w:tc>
        <w:tc>
          <w:tcPr>
            <w:tcW w:type="dxa" w:w="2800"/>
            <w:tcMar>
              <w:top w:type="dxa" w:w="80"/>
              <w:left w:type="dxa" w:w="100"/>
              <w:bottom w:type="dxa" w:w="80"/>
              <w:right w:type="dxa" w:w="100"/>
            </w:tcMar>
          </w:tcPr>
          <w:p>
            <w:r>
              <w:t xml:space="preserve">PASS</w:t>
            </w:r>
          </w:p>
        </w:tc>
      </w:tr>
      <w:tr>
        <w:trPr>
          <w:cantSplit/>
        </w:trPr>
        <w:tc>
          <w:tcPr>
            <w:tcW w:type="dxa" w:w="7200"/>
            <w:tcMar>
              <w:top w:type="dxa" w:w="80"/>
              <w:left w:type="dxa" w:w="100"/>
              <w:bottom w:type="dxa" w:w="80"/>
              <w:right w:type="dxa" w:w="100"/>
            </w:tcMar>
          </w:tcPr>
          <w:p>
            <w:r>
              <w:t xml:space="preserve">Recovery confirmed distinct from renewal/revocation</w:t>
            </w:r>
          </w:p>
        </w:tc>
        <w:tc>
          <w:tcPr>
            <w:tcW w:type="dxa" w:w="2800"/>
            <w:tcMar>
              <w:top w:type="dxa" w:w="80"/>
              <w:left w:type="dxa" w:w="100"/>
              <w:bottom w:type="dxa" w:w="80"/>
              <w:right w:type="dxa" w:w="100"/>
            </w:tcMar>
          </w:tcPr>
          <w:p>
            <w:r>
              <w:t xml:space="preserve">PASS</w:t>
            </w:r>
          </w:p>
        </w:tc>
      </w:tr>
      <w:tr>
        <w:trPr>
          <w:cantSplit/>
        </w:trPr>
        <w:tc>
          <w:tcPr>
            <w:tcW w:type="dxa" w:w="7200"/>
            <w:tcMar>
              <w:top w:type="dxa" w:w="80"/>
              <w:left w:type="dxa" w:w="100"/>
              <w:bottom w:type="dxa" w:w="80"/>
              <w:right w:type="dxa" w:w="100"/>
            </w:tcMar>
          </w:tcPr>
          <w:p>
            <w:r>
              <w:t xml:space="preserve">Workstreams A–E</w:t>
            </w:r>
          </w:p>
        </w:tc>
        <w:tc>
          <w:tcPr>
            <w:tcW w:type="dxa" w:w="2800"/>
            <w:tcMar>
              <w:top w:type="dxa" w:w="80"/>
              <w:left w:type="dxa" w:w="100"/>
              <w:bottom w:type="dxa" w:w="80"/>
              <w:right w:type="dxa" w:w="100"/>
            </w:tcMar>
          </w:tcPr>
          <w:p>
            <w:r>
              <w:t xml:space="preserve">PASS (5/5)</w:t>
            </w:r>
          </w:p>
        </w:tc>
      </w:tr>
      <w:tr>
        <w:trPr>
          <w:cantSplit/>
        </w:trPr>
        <w:tc>
          <w:tcPr>
            <w:tcW w:type="dxa" w:w="7200"/>
            <w:tcMar>
              <w:top w:type="dxa" w:w="80"/>
              <w:left w:type="dxa" w:w="100"/>
              <w:bottom w:type="dxa" w:w="80"/>
              <w:right w:type="dxa" w:w="100"/>
            </w:tcMar>
          </w:tcPr>
          <w:p>
            <w:r>
              <w:t xml:space="preserve">Cross-boundary checks (trust registry, authorization matrix, capability/fusion/sensors, local resolution, privacy/minimization)</w:t>
            </w:r>
          </w:p>
        </w:tc>
        <w:tc>
          <w:tcPr>
            <w:tcW w:type="dxa" w:w="2800"/>
            <w:tcMar>
              <w:top w:type="dxa" w:w="80"/>
              <w:left w:type="dxa" w:w="100"/>
              <w:bottom w:type="dxa" w:w="80"/>
              <w:right w:type="dxa" w:w="100"/>
            </w:tcMar>
          </w:tcPr>
          <w:p>
            <w:r>
              <w:t xml:space="preserve">PASS (5/5)</w:t>
            </w:r>
          </w:p>
        </w:tc>
      </w:tr>
      <w:tr>
        <w:trPr>
          <w:cantSplit/>
        </w:trPr>
        <w:tc>
          <w:tcPr>
            <w:tcW w:type="dxa" w:w="7200"/>
            <w:tcMar>
              <w:top w:type="dxa" w:w="80"/>
              <w:left w:type="dxa" w:w="100"/>
              <w:bottom w:type="dxa" w:w="80"/>
              <w:right w:type="dxa" w:w="100"/>
            </w:tcMar>
          </w:tcPr>
          <w:p>
            <w:r>
              <w:t xml:space="preserve">Combined regression suite</w:t>
            </w:r>
          </w:p>
        </w:tc>
        <w:tc>
          <w:tcPr>
            <w:tcW w:type="dxa" w:w="2800"/>
            <w:tcMar>
              <w:top w:type="dxa" w:w="80"/>
              <w:left w:type="dxa" w:w="100"/>
              <w:bottom w:type="dxa" w:w="80"/>
              <w:right w:type="dxa" w:w="100"/>
            </w:tcMar>
          </w:tcPr>
          <w:p>
            <w:r>
              <w:t xml:space="preserve">50/50 PASS</w:t>
            </w:r>
          </w:p>
        </w:tc>
      </w:tr>
    </w:tbl>
    <w:p>
      <w:pPr>
        <w:pStyle w:val="Heading2"/>
        <w:spacing w:after="120" w:before="240"/>
      </w:pPr>
      <w:r>
        <w:rPr>
          <w:b/>
          <w:bCs/>
        </w:rPr>
        <w:t xml:space="preserve">Invariants preserved (final)</w:t>
      </w:r>
    </w:p>
    <w:p>
      <w:pPr>
        <w:pStyle w:val="ListParagraph"/>
        <w:numPr>
          <w:ilvl w:val="0"/>
          <w:numId w:val="2"/>
        </w:numPr>
        <w:spacing w:after="100"/>
      </w:pPr>
      <w:r>
        <w:t xml:space="preserve">Credential lifecycle unchanged</w:t>
      </w:r>
    </w:p>
    <w:p>
      <w:pPr>
        <w:pStyle w:val="ListParagraph"/>
        <w:numPr>
          <w:ilvl w:val="0"/>
          <w:numId w:val="2"/>
        </w:numPr>
        <w:spacing w:after="100"/>
      </w:pPr>
      <w:r>
        <w:t xml:space="preserve">DID resolution ≠ issuer trust</w:t>
      </w:r>
    </w:p>
    <w:p>
      <w:pPr>
        <w:pStyle w:val="ListParagraph"/>
        <w:numPr>
          <w:ilvl w:val="0"/>
          <w:numId w:val="2"/>
        </w:numPr>
        <w:spacing w:after="100"/>
      </w:pPr>
      <w:r>
        <w:t xml:space="preserve">Identity recovery ≠ credential renewal/revocation</w:t>
      </w:r>
    </w:p>
    <w:p>
      <w:pPr>
        <w:pStyle w:val="ListParagraph"/>
        <w:numPr>
          <w:ilvl w:val="0"/>
          <w:numId w:val="2"/>
        </w:numPr>
        <w:spacing w:after="100"/>
      </w:pPr>
      <w:r>
        <w:t xml:space="preserve">DID identity ≠ authorization</w:t>
      </w:r>
    </w:p>
    <w:p>
      <w:pPr>
        <w:pStyle w:val="ListParagraph"/>
        <w:numPr>
          <w:ilvl w:val="0"/>
          <w:numId w:val="2"/>
        </w:numPr>
        <w:spacing w:after="100"/>
      </w:pPr>
      <w:r>
        <w:t xml:space="preserve">Holder key lifecycle ≠ credential lifecycle</w:t>
      </w:r>
    </w:p>
    <w:p>
      <w:pPr>
        <w:pStyle w:val="ListParagraph"/>
        <w:numPr>
          <w:ilvl w:val="0"/>
          <w:numId w:val="2"/>
        </w:numPr>
        <w:spacing w:after="100"/>
      </w:pPr>
      <w:r>
        <w:t xml:space="preserve">Trust Registry governance ≠ holder authorization</w:t>
      </w:r>
    </w:p>
    <w:p>
      <w:pPr>
        <w:pStyle w:val="ListParagraph"/>
        <w:numPr>
          <w:ilvl w:val="0"/>
          <w:numId w:val="2"/>
        </w:numPr>
        <w:spacing w:after="100"/>
      </w:pPr>
      <w:r>
        <w:t xml:space="preserve">Identity infrastructure ≠ operational infrastructure</w:t>
      </w:r>
    </w:p>
    <w:p>
      <w:pPr>
        <w:pStyle w:val="ListParagraph"/>
        <w:numPr>
          <w:ilvl w:val="0"/>
          <w:numId w:val="2"/>
        </w:numPr>
        <w:spacing w:after="100"/>
      </w:pPr>
      <w:r>
        <w:t xml:space="preserve">ZKP readiness ≠ ZKP implementation</w:t>
      </w:r>
    </w:p>
    <w:p>
      <w:pPr>
        <w:pStyle w:val="ListParagraph"/>
        <w:numPr>
          <w:ilvl w:val="0"/>
          <w:numId w:val="2"/>
        </w:numPr>
        <w:spacing w:after="100"/>
      </w:pPr>
      <w:r>
        <w:t xml:space="preserve">Presentation audit ≠ reusable authentication storage</w:t>
      </w:r>
    </w:p>
    <w:p>
      <w:pPr>
        <w:pStyle w:val="Heading2"/>
        <w:spacing w:after="120" w:before="240"/>
      </w:pPr>
      <w:r>
        <w:rPr>
          <w:b/>
          <w:bCs/>
        </w:rPr>
        <w:t xml:space="preserve">Residual items (non-blocking, carried forward)</w:t>
      </w:r>
    </w:p>
    <w:p>
      <w:pPr>
        <w:spacing w:after="160"/>
      </w:pPr>
      <w:r>
        <w:t xml:space="preserve">These were identified during audit as intentional, interim-acceptable gaps. They are not defects and are not being resolved as part of this milestone.</w:t>
      </w:r>
    </w:p>
    <w:p>
      <w:pPr>
        <w:pStyle w:val="ListParagraph"/>
        <w:numPr>
          <w:ilvl w:val="0"/>
          <w:numId w:val="3"/>
        </w:numPr>
        <w:spacing w:after="80"/>
      </w:pPr>
      <w:r>
        <w:t xml:space="preserve">File-based nonce store is single-host oriented; multi-node deployment will need a shared backend behind the same interface, later.</w:t>
      </w:r>
    </w:p>
    <w:p>
      <w:pPr>
        <w:pStyle w:val="ListParagraph"/>
        <w:numPr>
          <w:ilvl w:val="0"/>
          <w:numId w:val="3"/>
        </w:numPr>
        <w:spacing w:after="80"/>
      </w:pPr>
      <w:r>
        <w:t xml:space="preserve">Recovery remains policy-only; the executor is intentionally deferred to a future phase.</w:t>
      </w:r>
    </w:p>
    <w:p>
      <w:pPr>
        <w:pStyle w:val="ListParagraph"/>
        <w:numPr>
          <w:ilvl w:val="0"/>
          <w:numId w:val="3"/>
        </w:numPr>
        <w:spacing w:after="80"/>
      </w:pPr>
      <w:r>
        <w:t xml:space="preserve">Audit logging is in-process append; centralized SIEM integration is deferred, not required for the current interim state.</w:t>
      </w:r>
    </w:p>
    <w:p>
      <w:r>
        <w:br w:type="page"/>
      </w:r>
    </w:p>
    <w:p>
      <w:pPr>
        <w:pStyle w:val="Heading2"/>
        <w:spacing w:after="120" w:before="240"/>
      </w:pPr>
      <w:r>
        <w:rPr>
          <w:b/>
          <w:bCs/>
        </w:rPr>
        <w:t xml:space="preserve">Downstream deliverable initiated</w:t>
      </w:r>
    </w:p>
    <w:p>
      <w:pPr>
        <w:spacing w:after="160"/>
      </w:pPr>
      <w:r>
        <w:t xml:space="preserve">A </w:t>
      </w:r>
      <w:r>
        <w:rPr>
          <w:b/>
          <w:bCs/>
        </w:rPr>
        <w:t xml:space="preserve">Compliance Impact Assessment</w:t>
      </w:r>
      <w:r>
        <w:t xml:space="preserve"> (Grok Implementation Prompt) has been produced from this milestone's audit findings. It is explicitly scoped as downstream: it does not re-verify architecture, does not reopen any invariant, and does not propose new engineering work. It translates the PASS verdict and residuals above into compliance-facing findings (data minimization, identity assurance, recovery/continuity, audit/retention, and a residual risk register), each independently classified as Compliant-by-design, Partial-Residual, or Not-Yet-Addressed.</w:t>
      </w:r>
    </w:p>
    <w:p>
      <w:pPr>
        <w:pStyle w:val="Heading2"/>
        <w:spacing w:after="120" w:before="240"/>
      </w:pPr>
      <w:r>
        <w:rPr>
          <w:b/>
          <w:bCs/>
        </w:rPr>
        <w:t xml:space="preserve">Documents produced during Phase 2.5</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200"/>
        <w:gridCol w:w="4800"/>
      </w:tblGrid>
      <w:tr>
        <w:trPr>
          <w:cantSplit/>
        </w:trPr>
        <w:tc>
          <w:tcPr>
            <w:tcW w:type="dxa" w:w="5200"/>
            <w:shd w:fill="DDE6F0" w:val="clear"/>
            <w:tcMar>
              <w:top w:type="dxa" w:w="80"/>
              <w:left w:type="dxa" w:w="100"/>
              <w:bottom w:type="dxa" w:w="80"/>
              <w:right w:type="dxa" w:w="100"/>
            </w:tcMar>
          </w:tcPr>
          <w:p>
            <w:r>
              <w:rPr>
                <w:b/>
                <w:bCs/>
              </w:rPr>
              <w:t xml:space="preserve">Document</w:t>
            </w:r>
          </w:p>
        </w:tc>
        <w:tc>
          <w:tcPr>
            <w:tcW w:type="dxa" w:w="4800"/>
            <w:shd w:fill="DDE6F0" w:val="clear"/>
            <w:tcMar>
              <w:top w:type="dxa" w:w="80"/>
              <w:left w:type="dxa" w:w="100"/>
              <w:bottom w:type="dxa" w:w="80"/>
              <w:right w:type="dxa" w:w="100"/>
            </w:tcMar>
          </w:tcPr>
          <w:p>
            <w:r>
              <w:rPr>
                <w:b/>
                <w:bCs/>
              </w:rPr>
              <w:t xml:space="preserve">Purpose</w:t>
            </w:r>
          </w:p>
        </w:tc>
      </w:tr>
      <w:tr>
        <w:trPr>
          <w:cantSplit/>
        </w:trPr>
        <w:tc>
          <w:tcPr>
            <w:tcW w:type="dxa" w:w="5200"/>
            <w:tcMar>
              <w:top w:type="dxa" w:w="80"/>
              <w:left w:type="dxa" w:w="100"/>
              <w:bottom w:type="dxa" w:w="80"/>
              <w:right w:type="dxa" w:w="100"/>
            </w:tcMar>
          </w:tcPr>
          <w:p>
            <w:r>
              <w:t xml:space="preserve">Grok Implementation Prompt — Phase 2.5 (with DID policy, recovery, and proof-logging revisions)</w:t>
            </w:r>
          </w:p>
        </w:tc>
        <w:tc>
          <w:tcPr>
            <w:tcW w:type="dxa" w:w="4800"/>
            <w:tcMar>
              <w:top w:type="dxa" w:w="80"/>
              <w:left w:type="dxa" w:w="100"/>
              <w:bottom w:type="dxa" w:w="80"/>
              <w:right w:type="dxa" w:w="100"/>
            </w:tcMar>
          </w:tcPr>
          <w:p>
            <w:r>
              <w:t xml:space="preserve">Directed implementation of the five workstreams</w:t>
            </w:r>
          </w:p>
        </w:tc>
      </w:tr>
      <w:tr>
        <w:trPr>
          <w:cantSplit/>
        </w:trPr>
        <w:tc>
          <w:tcPr>
            <w:tcW w:type="dxa" w:w="5200"/>
            <w:tcMar>
              <w:top w:type="dxa" w:w="80"/>
              <w:left w:type="dxa" w:w="100"/>
              <w:bottom w:type="dxa" w:w="80"/>
              <w:right w:type="dxa" w:w="100"/>
            </w:tcMar>
          </w:tcPr>
          <w:p>
            <w:r>
              <w:t xml:space="preserve">Phase 2.5 Architecture Audit — Final Verification</w:t>
            </w:r>
          </w:p>
        </w:tc>
        <w:tc>
          <w:tcPr>
            <w:tcW w:type="dxa" w:w="4800"/>
            <w:tcMar>
              <w:top w:type="dxa" w:w="80"/>
              <w:left w:type="dxa" w:w="100"/>
              <w:bottom w:type="dxa" w:w="80"/>
              <w:right w:type="dxa" w:w="100"/>
            </w:tcMar>
          </w:tcPr>
          <w:p>
            <w:r>
              <w:t xml:space="preserve">Verified implementation against invariants and regression suite; produced the PASS verdict this milestone reports</w:t>
            </w:r>
          </w:p>
        </w:tc>
      </w:tr>
      <w:tr>
        <w:trPr>
          <w:cantSplit/>
        </w:trPr>
        <w:tc>
          <w:tcPr>
            <w:tcW w:type="dxa" w:w="5200"/>
            <w:tcMar>
              <w:top w:type="dxa" w:w="80"/>
              <w:left w:type="dxa" w:w="100"/>
              <w:bottom w:type="dxa" w:w="80"/>
              <w:right w:type="dxa" w:w="100"/>
            </w:tcMar>
          </w:tcPr>
          <w:p>
            <w:r>
              <w:t xml:space="preserve">Grok Implementation Prompt — Phase 2.5 Compliance Impact Assessment</w:t>
            </w:r>
          </w:p>
        </w:tc>
        <w:tc>
          <w:tcPr>
            <w:tcW w:type="dxa" w:w="4800"/>
            <w:tcMar>
              <w:top w:type="dxa" w:w="80"/>
              <w:left w:type="dxa" w:w="100"/>
              <w:bottom w:type="dxa" w:w="80"/>
              <w:right w:type="dxa" w:w="100"/>
            </w:tcMar>
          </w:tcPr>
          <w:p>
            <w:r>
              <w:t xml:space="preserve">Downstream compliance-facing translation of audit findings</w:t>
            </w:r>
          </w:p>
        </w:tc>
      </w:tr>
      <w:tr>
        <w:trPr>
          <w:cantSplit/>
        </w:trPr>
        <w:tc>
          <w:tcPr>
            <w:tcW w:type="dxa" w:w="5200"/>
            <w:tcMar>
              <w:top w:type="dxa" w:w="80"/>
              <w:left w:type="dxa" w:w="100"/>
              <w:bottom w:type="dxa" w:w="80"/>
              <w:right w:type="dxa" w:w="100"/>
            </w:tcMar>
          </w:tcPr>
          <w:p>
            <w:r>
              <w:t xml:space="preserve">Phase 2.5 — Implementation &amp; Validation Milestone: COMPLETE (this document)</w:t>
            </w:r>
          </w:p>
        </w:tc>
        <w:tc>
          <w:tcPr>
            <w:tcW w:type="dxa" w:w="4800"/>
            <w:tcMar>
              <w:top w:type="dxa" w:w="80"/>
              <w:left w:type="dxa" w:w="100"/>
              <w:bottom w:type="dxa" w:w="80"/>
              <w:right w:type="dxa" w:w="100"/>
            </w:tcMar>
          </w:tcPr>
          <w:p>
            <w:r>
              <w:t xml:space="preserve">Consolidated record of scope, verification, invariants, and residuals at milestone close</w:t>
            </w:r>
          </w:p>
        </w:tc>
      </w:tr>
    </w:tbl>
    <w:p>
      <w:pPr>
        <w:pStyle w:val="Heading2"/>
        <w:spacing w:after="120" w:before="240"/>
      </w:pPr>
      <w:r>
        <w:rPr>
          <w:b/>
          <w:bCs/>
        </w:rPr>
        <w:t xml:space="preserve">Milestone disposition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rPr>
        <w:tc>
          <w:tcPr>
            <w:tcW w:type="dxa" w:w="5000"/>
            <w:shd w:fill="DDE6F0" w:val="clear"/>
            <w:tcMar>
              <w:top w:type="dxa" w:w="80"/>
              <w:left w:type="dxa" w:w="100"/>
              <w:bottom w:type="dxa" w:w="80"/>
              <w:right w:type="dxa" w:w="100"/>
            </w:tcMar>
          </w:tcPr>
          <w:p>
            <w:r>
              <w:rPr>
                <w:b/>
                <w:bCs/>
              </w:rPr>
              <w:t xml:space="preserve">Previous</w:t>
            </w:r>
          </w:p>
        </w:tc>
        <w:tc>
          <w:tcPr>
            <w:tcW w:type="dxa" w:w="5000"/>
            <w:shd w:fill="DDE6F0" w:val="clear"/>
            <w:tcMar>
              <w:top w:type="dxa" w:w="80"/>
              <w:left w:type="dxa" w:w="100"/>
              <w:bottom w:type="dxa" w:w="80"/>
              <w:right w:type="dxa" w:w="100"/>
            </w:tcMar>
          </w:tcPr>
          <w:p>
            <w:r>
              <w:rPr>
                <w:b/>
                <w:bCs/>
              </w:rPr>
              <w:t xml:space="preserve">Final</w:t>
            </w:r>
          </w:p>
        </w:tc>
      </w:tr>
      <w:tr>
        <w:trPr>
          <w:cantSplit/>
        </w:trPr>
        <w:tc>
          <w:tcPr>
            <w:tcW w:type="dxa" w:w="5000"/>
            <w:tcMar>
              <w:top w:type="dxa" w:w="80"/>
              <w:left w:type="dxa" w:w="100"/>
              <w:bottom w:type="dxa" w:w="80"/>
              <w:right w:type="dxa" w:w="100"/>
            </w:tcMar>
          </w:tcPr>
          <w:p>
            <w:r>
              <w:t xml:space="preserve">READY FOR FINAL VERIFICATION</w:t>
            </w:r>
          </w:p>
        </w:tc>
        <w:tc>
          <w:tcPr>
            <w:tcW w:type="dxa" w:w="5000"/>
            <w:tcMar>
              <w:top w:type="dxa" w:w="80"/>
              <w:left w:type="dxa" w:w="100"/>
              <w:bottom w:type="dxa" w:w="80"/>
              <w:right w:type="dxa" w:w="100"/>
            </w:tcMar>
          </w:tcPr>
          <w:p>
            <w:r>
              <w:t xml:space="preserve">ARCHITECTURE AUDIT — PASS</w:t>
            </w:r>
          </w:p>
        </w:tc>
      </w:tr>
    </w:tbl>
    <w:p>
      <w:pPr>
        <w:spacing w:before="200"/>
      </w:pPr>
      <w:r>
        <w:t xml:space="preserve">Milestone status: COMPLETE. Phase 2.5 did not redefine the credential lifecycle, did not introduce ZKP implementation, did not introduce external DID infrastructure, and did not expand scope beyond what was defined at phase entry. The phase is closed; compliance framing is now in progress as a separate, downstream track.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2026-08-14T10:04:29.104Z</dcterms:created>
  <dcterms:modified xsi:type="dcterms:W3CDTF">2026-08-14T10:04:29.120Z</dcterms:modified>
</cp:coreProperties>
</file>

<file path=docProps/custom.xml><?xml version="1.0" encoding="utf-8"?>
<Properties xmlns="http://schemas.openxmlformats.org/officeDocument/2006/custom-properties" xmlns:vt="http://schemas.openxmlformats.org/officeDocument/2006/docPropsVTypes"/>
</file>