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2.6 — Audit Governance &amp; Identity Recovery Foundations Specification</w:t>
      </w:r>
    </w:p>
    <w:p>
      <w:pPr>
        <w:jc w:val="center"/>
      </w:pPr>
      <w:r>
        <w:rPr>
          <w:i/>
        </w:rPr>
        <w:t>Operation Signal Forge</w:t>
        <w:br/>
        <w:t>Status: Architecture Specification</w:t>
        <w:br/>
        <w:t>Predecessor: Phase 2.5 — Identity Operational Hardening &amp; Interoperability Foundations</w:t>
        <w:br/>
        <w:t>Date: August 15, 2026</w:t>
      </w:r>
    </w:p>
    <w:p>
      <w:pPr>
        <w:pStyle w:val="Heading1"/>
      </w:pPr>
      <w:r>
        <w:t>1. Purpose</w:t>
      </w:r>
    </w:p>
    <w:p>
      <w:r>
        <w:t>Phase 2.6 addresses the highest-leverage confirmed gaps remaining after Phase 2.5. The scope is intentionally narrow and is based on the Phase 2.5 Gap Analysis, repository verification, Architecture Audit, and Compliance Impact Assessment.</w:t>
      </w:r>
    </w:p>
    <w:p>
      <w:r>
        <w:t>Phase 2.6 prioritizes two workstreams:</w:t>
      </w:r>
    </w:p>
    <w:p>
      <w:pPr>
        <w:pStyle w:val="ListBullet"/>
      </w:pPr>
      <w:r>
        <w:t>G4 — Audit Log Governance</w:t>
      </w:r>
    </w:p>
    <w:p>
      <w:pPr>
        <w:pStyle w:val="ListBullet"/>
      </w:pPr>
      <w:r>
        <w:t>G2 — Identity Recovery Executor</w:t>
      </w:r>
    </w:p>
    <w:p>
      <w:r>
        <w:t>G4 is addressed first because it closes a confirmed compliance/control gap and establishes the governance foundation required for sensitive identity events such as recovery. G2 follows as a bounded operational capability built under the recovery policy already established in Phase 2.5.</w:t>
      </w:r>
    </w:p>
    <w:p>
      <w:pPr>
        <w:pStyle w:val="Heading1"/>
      </w:pPr>
      <w:r>
        <w:t>2. Source and Verification Basis</w:t>
      </w:r>
    </w:p>
    <w:p>
      <w:r>
        <w:t>The Phase 2.6 scope is grounded in the following completed evidence:</w:t>
      </w:r>
    </w:p>
    <w:p>
      <w:pPr>
        <w:pStyle w:val="ListBullet"/>
      </w:pPr>
      <w:r>
        <w:t>Phase 2.5 Architecture Audit — PASS</w:t>
      </w:r>
    </w:p>
    <w:p>
      <w:pPr>
        <w:pStyle w:val="ListBullet"/>
      </w:pPr>
      <w:r>
        <w:t>Phase 2.5 combined validation — 50/50 PASS</w:t>
      </w:r>
    </w:p>
    <w:p>
      <w:pPr>
        <w:pStyle w:val="ListBullet"/>
      </w:pPr>
      <w:r>
        <w:t>Phase 2.5 Compliance Impact Assessment</w:t>
      </w:r>
    </w:p>
    <w:p>
      <w:pPr>
        <w:pStyle w:val="ListBullet"/>
      </w:pPr>
      <w:r>
        <w:t>Phase 2.6 Gap Analysis</w:t>
      </w:r>
    </w:p>
    <w:p>
      <w:pPr>
        <w:pStyle w:val="ListBullet"/>
      </w:pPr>
      <w:r>
        <w:t>Repository verification of G1–G8</w:t>
      </w:r>
    </w:p>
    <w:p>
      <w:pPr>
        <w:pStyle w:val="Heading1"/>
      </w:pPr>
      <w:r>
        <w:t>3. Confirmed Gap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Gap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Phase 2.6 treatment</w:t>
            </w:r>
          </w:p>
        </w:tc>
      </w:tr>
      <w:tr>
        <w:tc>
          <w:tcPr>
            <w:tcW w:type="dxa" w:w="2880"/>
          </w:tcPr>
          <w:p>
            <w:r>
              <w:t>G4 — Audit log governance</w:t>
            </w:r>
          </w:p>
        </w:tc>
        <w:tc>
          <w:tcPr>
            <w:tcW w:type="dxa" w:w="2880"/>
          </w:tcPr>
          <w:p>
            <w:r>
              <w:t>Foundation / MUST</w:t>
            </w:r>
          </w:p>
        </w:tc>
        <w:tc>
          <w:tcPr>
            <w:tcW w:type="dxa" w:w="2880"/>
          </w:tcPr>
          <w:p>
            <w:r>
              <w:t>Primary Phase 2.6 workstream</w:t>
            </w:r>
          </w:p>
        </w:tc>
      </w:tr>
      <w:tr>
        <w:tc>
          <w:tcPr>
            <w:tcW w:type="dxa" w:w="2880"/>
          </w:tcPr>
          <w:p>
            <w:r>
              <w:t>G2 — Recovery executor</w:t>
            </w:r>
          </w:p>
        </w:tc>
        <w:tc>
          <w:tcPr>
            <w:tcW w:type="dxa" w:w="2880"/>
          </w:tcPr>
          <w:p>
            <w:r>
              <w:t>Foundation / MUST</w:t>
            </w:r>
          </w:p>
        </w:tc>
        <w:tc>
          <w:tcPr>
            <w:tcW w:type="dxa" w:w="2880"/>
          </w:tcPr>
          <w:p>
            <w:r>
              <w:t>Secondary Phase 2.6 workstream</w:t>
            </w:r>
          </w:p>
        </w:tc>
      </w:tr>
      <w:tr>
        <w:tc>
          <w:tcPr>
            <w:tcW w:type="dxa" w:w="2880"/>
          </w:tcPr>
          <w:p>
            <w:r>
              <w:t>G3 — Centralized audit visibility</w:t>
            </w:r>
          </w:p>
        </w:tc>
        <w:tc>
          <w:tcPr>
            <w:tcW w:type="dxa" w:w="2880"/>
          </w:tcPr>
          <w:p>
            <w:r>
              <w:t>Hardening / SHOULD</w:t>
            </w:r>
          </w:p>
        </w:tc>
        <w:tc>
          <w:tcPr>
            <w:tcW w:type="dxa" w:w="2880"/>
          </w:tcPr>
          <w:p>
            <w:r>
              <w:t>Conditional; not required for core 2.6 closure</w:t>
            </w:r>
          </w:p>
        </w:tc>
      </w:tr>
      <w:tr>
        <w:tc>
          <w:tcPr>
            <w:tcW w:type="dxa" w:w="2880"/>
          </w:tcPr>
          <w:p>
            <w:r>
              <w:t>G1 — Shared nonce backend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Only if multi-node identity deployment is committed</w:t>
            </w:r>
          </w:p>
        </w:tc>
      </w:tr>
      <w:tr>
        <w:tc>
          <w:tcPr>
            <w:tcW w:type="dxa" w:w="2880"/>
          </w:tcPr>
          <w:p>
            <w:r>
              <w:t>G6 — External-resolution review trigger</w:t>
            </w:r>
          </w:p>
        </w:tc>
        <w:tc>
          <w:tcPr>
            <w:tcW w:type="dxa" w:w="2880"/>
          </w:tcPr>
          <w:p>
            <w:r>
              <w:t>Light Foundation / SHOULD</w:t>
            </w:r>
          </w:p>
        </w:tc>
        <w:tc>
          <w:tcPr>
            <w:tcW w:type="dxa" w:w="2880"/>
          </w:tcPr>
          <w:p>
            <w:r>
              <w:t>Governance/process item; may be handled alongside policy documentation</w:t>
            </w:r>
          </w:p>
        </w:tc>
      </w:tr>
      <w:tr>
        <w:tc>
          <w:tcPr>
            <w:tcW w:type="dxa" w:w="2880"/>
          </w:tcPr>
          <w:p>
            <w:r>
              <w:t>G5 — Additional DID methods</w:t>
            </w:r>
          </w:p>
        </w:tc>
        <w:tc>
          <w:tcPr>
            <w:tcW w:type="dxa" w:w="2880"/>
          </w:tcPr>
          <w:p>
            <w:r>
              <w:t>Future / Conditional</w:t>
            </w:r>
          </w:p>
        </w:tc>
        <w:tc>
          <w:tcPr>
            <w:tcW w:type="dxa" w:w="2880"/>
          </w:tcPr>
          <w:p>
            <w:r>
              <w:t>Remain deferred without a concrete interoperability requirement</w:t>
            </w:r>
          </w:p>
        </w:tc>
      </w:tr>
      <w:tr>
        <w:tc>
          <w:tcPr>
            <w:tcW w:type="dxa" w:w="2880"/>
          </w:tcPr>
          <w:p>
            <w:r>
              <w:t>G7 — ZKP / selective disclosure</w:t>
            </w:r>
          </w:p>
        </w:tc>
        <w:tc>
          <w:tcPr>
            <w:tcW w:type="dxa" w:w="2880"/>
          </w:tcPr>
          <w:p>
            <w:r>
              <w:t>Future / Deferred</w:t>
            </w:r>
          </w:p>
        </w:tc>
        <w:tc>
          <w:tcPr>
            <w:tcW w:type="dxa" w:w="2880"/>
          </w:tcPr>
          <w:p>
            <w:r>
              <w:t>Remain explicitly out of scope</w:t>
            </w:r>
          </w:p>
        </w:tc>
      </w:tr>
    </w:tbl>
    <w:p>
      <w:pPr>
        <w:pStyle w:val="Heading1"/>
      </w:pPr>
      <w:r>
        <w:t>4. Mandatory Architectural Rule</w:t>
      </w:r>
    </w:p>
    <w:p>
      <w:r>
        <w:rPr>
          <w:b/>
        </w:rPr>
        <w:t>Phase 2.6 must not redefine the existing credential lifecycle.</w:t>
      </w:r>
    </w:p>
    <w:p>
      <w:r>
        <w:t>Credential issuance, presentation, renewal, rotation, expiration, and revocation semantics established through Phases 2.1–2.5 remain unchanged.</w:t>
      </w:r>
    </w:p>
    <w:p>
      <w:pPr>
        <w:pStyle w:val="ListBullet"/>
      </w:pPr>
      <w:r>
        <w:t>Audit governance must govern identity audit artifacts without changing credential semantics.</w:t>
      </w:r>
    </w:p>
    <w:p>
      <w:pPr>
        <w:pStyle w:val="ListBullet"/>
      </w:pPr>
      <w:r>
        <w:t>Identity recovery must not become credential renewal or revocation.</w:t>
      </w:r>
    </w:p>
    <w:p>
      <w:pPr>
        <w:pStyle w:val="ListBullet"/>
      </w:pPr>
      <w:r>
        <w:t>Identity recovery must not silently restore authorization scopes.</w:t>
      </w:r>
    </w:p>
    <w:p>
      <w:pPr>
        <w:pStyle w:val="ListBullet"/>
      </w:pPr>
      <w:r>
        <w:t>Audit logging must not become a secondary credential/proof store.</w:t>
      </w:r>
    </w:p>
    <w:p>
      <w:pPr>
        <w:pStyle w:val="Heading1"/>
      </w:pPr>
      <w:r>
        <w:t>5. Workstream G4 — Audit Log Governance</w:t>
      </w:r>
    </w:p>
    <w:p>
      <w:r>
        <w:t>G4 is the primary Phase 2.6 workstream. The repository verification confirmed that presentation audit data exists, but formal retention, role-based access control, and tamper-evidence are largely absent beyond ordinary filesystem controls.</w:t>
      </w:r>
    </w:p>
    <w:p>
      <w:r>
        <w:rPr>
          <w:b/>
        </w:rPr>
        <w:t>G4 objective: make identity audit data explicitly governed, access-controlled, retained, and integrity-protected.</w:t>
      </w:r>
    </w:p>
    <w:p>
      <w:pPr>
        <w:pStyle w:val="Heading1"/>
      </w:pPr>
      <w:r>
        <w:t>5.1 Retention Policy</w:t>
      </w:r>
    </w:p>
    <w:p>
      <w:r>
        <w:t>Define formal retention requirements for identity audit events.</w:t>
      </w:r>
    </w:p>
    <w:p>
      <w:pPr>
        <w:pStyle w:val="ListBullet"/>
      </w:pPr>
      <w:r>
        <w:t>Classify audit event categories.</w:t>
      </w:r>
    </w:p>
    <w:p>
      <w:pPr>
        <w:pStyle w:val="ListBullet"/>
      </w:pPr>
      <w:r>
        <w:t>Define retention duration for each category.</w:t>
      </w:r>
    </w:p>
    <w:p>
      <w:pPr>
        <w:pStyle w:val="ListBullet"/>
      </w:pPr>
      <w:r>
        <w:t>Define purge/archive behavior.</w:t>
      </w:r>
    </w:p>
    <w:p>
      <w:pPr>
        <w:pStyle w:val="ListBullet"/>
      </w:pPr>
      <w:r>
        <w:t>Define handling for expired audit records.</w:t>
      </w:r>
    </w:p>
    <w:p>
      <w:pPr>
        <w:pStyle w:val="ListBullet"/>
      </w:pPr>
      <w:r>
        <w:t>Ensure retention does not preserve raw authentication material unnecessarily.</w:t>
      </w:r>
    </w:p>
    <w:p>
      <w:pPr>
        <w:pStyle w:val="Heading1"/>
      </w:pPr>
      <w:r>
        <w:t>5.2 Audit Access Control</w:t>
      </w:r>
    </w:p>
    <w:p>
      <w:r>
        <w:t>Define who may read identity audit records and under what conditions.</w:t>
      </w:r>
    </w:p>
    <w:p>
      <w:pPr>
        <w:pStyle w:val="ListBullet"/>
      </w:pPr>
      <w:r>
        <w:t>Explicit role/scope for audit-log access.</w:t>
      </w:r>
    </w:p>
    <w:p>
      <w:pPr>
        <w:pStyle w:val="ListBullet"/>
      </w:pPr>
      <w:r>
        <w:t>Least-privilege read access.</w:t>
      </w:r>
    </w:p>
    <w:p>
      <w:pPr>
        <w:pStyle w:val="ListBullet"/>
      </w:pPr>
      <w:r>
        <w:t>Authorization of administrative/audit queries.</w:t>
      </w:r>
    </w:p>
    <w:p>
      <w:pPr>
        <w:pStyle w:val="ListBullet"/>
      </w:pPr>
      <w:r>
        <w:t>Denial behavior for unauthorized audit access.</w:t>
      </w:r>
    </w:p>
    <w:p>
      <w:pPr>
        <w:pStyle w:val="ListBullet"/>
      </w:pPr>
      <w:r>
        <w:t>Auditability of privileged access where appropriate.</w:t>
      </w:r>
    </w:p>
    <w:p>
      <w:pPr>
        <w:pStyle w:val="Heading1"/>
      </w:pPr>
      <w:r>
        <w:t>5.3 Tamper-Evidence and Integrity</w:t>
      </w:r>
    </w:p>
    <w:p>
      <w:r>
        <w:t>Define and implement an integrity mechanism appropriate to the current deployment architecture.</w:t>
      </w:r>
    </w:p>
    <w:p>
      <w:pPr>
        <w:pStyle w:val="ListBullet"/>
      </w:pPr>
      <w:r>
        <w:t>Detect unauthorized modification of audit records.</w:t>
      </w:r>
    </w:p>
    <w:p>
      <w:pPr>
        <w:pStyle w:val="ListBullet"/>
      </w:pPr>
      <w:r>
        <w:t>Define integrity verification behavior.</w:t>
      </w:r>
    </w:p>
    <w:p>
      <w:pPr>
        <w:pStyle w:val="ListBullet"/>
      </w:pPr>
      <w:r>
        <w:t>Define failure behavior when integrity verification fails.</w:t>
      </w:r>
    </w:p>
    <w:p>
      <w:pPr>
        <w:pStyle w:val="ListBullet"/>
      </w:pPr>
      <w:r>
        <w:t>Preserve the audit event itself without introducing reusable authentication material.</w:t>
      </w:r>
    </w:p>
    <w:p>
      <w:pPr>
        <w:pStyle w:val="ListBullet"/>
      </w:pPr>
      <w:r>
        <w:t>Avoid unnecessary coupling to a specific future SIEM provider.</w:t>
      </w:r>
    </w:p>
    <w:p>
      <w:pPr>
        <w:pStyle w:val="Heading1"/>
      </w:pPr>
      <w:r>
        <w:t>5.4 Audit Data Boundary</w:t>
      </w:r>
    </w:p>
    <w:p>
      <w:pPr>
        <w:pStyle w:val="ListBullet"/>
      </w:pPr>
      <w:r>
        <w:t>Identity audit events remain within the identity/audit domain.</w:t>
      </w:r>
    </w:p>
    <w:p>
      <w:pPr>
        <w:pStyle w:val="ListBullet"/>
      </w:pPr>
      <w:r>
        <w:t>Operational sensor and detection telemetry remain separate.</w:t>
      </w:r>
    </w:p>
    <w:p>
      <w:pPr>
        <w:pStyle w:val="ListBullet"/>
      </w:pPr>
      <w:r>
        <w:t>Raw VCs, private keys, reusable proofs, and challenge secrets remain excluded unless a separately approved requirement exists.</w:t>
      </w:r>
    </w:p>
    <w:p>
      <w:pPr>
        <w:pStyle w:val="Heading1"/>
      </w:pPr>
      <w:r>
        <w:t>5.5 G4 Success Criteria</w:t>
      </w:r>
    </w:p>
    <w:p>
      <w:pPr>
        <w:pStyle w:val="ListBullet"/>
      </w:pPr>
      <w:r>
        <w:t>Formal retention policy exists.</w:t>
      </w:r>
    </w:p>
    <w:p>
      <w:pPr>
        <w:pStyle w:val="ListBullet"/>
      </w:pPr>
      <w:r>
        <w:t>Audit-log read access is explicitly controlled.</w:t>
      </w:r>
    </w:p>
    <w:p>
      <w:pPr>
        <w:pStyle w:val="ListBullet"/>
      </w:pPr>
      <w:r>
        <w:t>Unauthorized audit access is denied.</w:t>
      </w:r>
    </w:p>
    <w:p>
      <w:pPr>
        <w:pStyle w:val="ListBullet"/>
      </w:pPr>
      <w:r>
        <w:t>Audit record integrity/tamper evidence is implemented or explicitly scoped to the approved deployment mechanism.</w:t>
      </w:r>
    </w:p>
    <w:p>
      <w:pPr>
        <w:pStyle w:val="ListBullet"/>
      </w:pPr>
      <w:r>
        <w:t>Retention and access behavior are tested.</w:t>
      </w:r>
    </w:p>
    <w:p>
      <w:pPr>
        <w:pStyle w:val="ListBullet"/>
      </w:pPr>
      <w:r>
        <w:t>No reusable authentication material is introduced into the audit store.</w:t>
      </w:r>
    </w:p>
    <w:p>
      <w:pPr>
        <w:pStyle w:val="Heading1"/>
      </w:pPr>
      <w:r>
        <w:t>6. Workstream G2 — Identity Recovery Executor</w:t>
      </w:r>
    </w:p>
    <w:p>
      <w:r>
        <w:t>G2 is the secondary Phase 2.6 workstream. Phase 2.5 already established recovery triggers, authority, audit shape, and key lifecycle primitives, but the recovery workflow is intentionally not executable today.</w:t>
      </w:r>
    </w:p>
    <w:p>
      <w:r>
        <w:rPr>
          <w:b/>
        </w:rPr>
        <w:t>G2 objective: provide a tightly bounded recovery executor without changing credential lifecycle or authorization policy.</w:t>
      </w:r>
    </w:p>
    <w:p>
      <w:pPr>
        <w:pStyle w:val="Heading1"/>
      </w:pPr>
      <w:r>
        <w:t>6.1 Recovery Boundary</w:t>
      </w:r>
    </w:p>
    <w:p>
      <w:r>
        <w:t>Recovery restores or re-establishes control of an identity. It does not automatically restore credential authority or operational authorization.</w:t>
      </w:r>
    </w:p>
    <w:p>
      <w:pPr>
        <w:pStyle w:val="ListBullet"/>
      </w:pPr>
      <w:r>
        <w:t>Identity recovery ≠ credential renewal.</w:t>
      </w:r>
    </w:p>
    <w:p>
      <w:pPr>
        <w:pStyle w:val="ListBullet"/>
      </w:pPr>
      <w:r>
        <w:t>Identity recovery ≠ credential revocation.</w:t>
      </w:r>
    </w:p>
    <w:p>
      <w:pPr>
        <w:pStyle w:val="ListBullet"/>
      </w:pPr>
      <w:r>
        <w:t>Identity recovery ≠ automatic scope restoration.</w:t>
      </w:r>
    </w:p>
    <w:p>
      <w:pPr>
        <w:pStyle w:val="Heading1"/>
      </w:pPr>
      <w:r>
        <w:t>6.2 Recovery Workflow</w:t>
      </w:r>
    </w:p>
    <w:p>
      <w:r>
        <w:t>The implementation should follow the existing Phase 2.5 recovery policy:</w:t>
      </w:r>
    </w:p>
    <w:p>
      <w:r>
        <w:t>Recovery Request</w:t>
        <w:br/>
        <w:t>↓</w:t>
        <w:br/>
        <w:t>Authorize / Approve</w:t>
        <w:br/>
        <w:t>↓</w:t>
        <w:br/>
        <w:t>Retire compromised or unavailable verification method</w:t>
        <w:br/>
        <w:t>↓</w:t>
        <w:br/>
        <w:t>Activate replacement identity key</w:t>
        <w:br/>
        <w:t>↓</w:t>
        <w:br/>
        <w:t>Record auditable recovery event</w:t>
        <w:br/>
        <w:t>↓</w:t>
        <w:br/>
        <w:t>Resume normal identity verification</w:t>
      </w:r>
    </w:p>
    <w:p>
      <w:pPr>
        <w:pStyle w:val="Heading1"/>
      </w:pPr>
      <w:r>
        <w:t>6.3 Recovery Requirements</w:t>
      </w:r>
    </w:p>
    <w:p>
      <w:pPr>
        <w:pStyle w:val="ListBullet"/>
      </w:pPr>
      <w:r>
        <w:t>Accept only authorized recovery requests.</w:t>
      </w:r>
    </w:p>
    <w:p>
      <w:pPr>
        <w:pStyle w:val="ListBullet"/>
      </w:pPr>
      <w:r>
        <w:t>Preserve the DID identity where policy permits.</w:t>
      </w:r>
    </w:p>
    <w:p>
      <w:pPr>
        <w:pStyle w:val="ListBullet"/>
      </w:pPr>
      <w:r>
        <w:t>Retire compromised or unavailable verification methods.</w:t>
      </w:r>
    </w:p>
    <w:p>
      <w:pPr>
        <w:pStyle w:val="ListBullet"/>
      </w:pPr>
      <w:r>
        <w:t>Activate a replacement verification method.</w:t>
      </w:r>
    </w:p>
    <w:p>
      <w:pPr>
        <w:pStyle w:val="ListBullet"/>
      </w:pPr>
      <w:r>
        <w:t>Record the recovery event using governed audit controls.</w:t>
      </w:r>
    </w:p>
    <w:p>
      <w:pPr>
        <w:pStyle w:val="ListBullet"/>
      </w:pPr>
      <w:r>
        <w:t>Fail safely if authorization or evidence requirements are not satisfied.</w:t>
      </w:r>
    </w:p>
    <w:p>
      <w:pPr>
        <w:pStyle w:val="ListBullet"/>
      </w:pPr>
      <w:r>
        <w:t>Preserve existing credential state unless a separate credential lifecycle operation is intentionally invoked.</w:t>
      </w:r>
    </w:p>
    <w:p>
      <w:pPr>
        <w:pStyle w:val="Heading1"/>
      </w:pPr>
      <w:r>
        <w:t>6.4 Explicit Recovery Prohibitions</w:t>
      </w:r>
    </w:p>
    <w:p>
      <w:pPr>
        <w:pStyle w:val="ListBullet"/>
      </w:pPr>
      <w:r>
        <w:t>No automatic credential reissuance.</w:t>
      </w:r>
    </w:p>
    <w:p>
      <w:pPr>
        <w:pStyle w:val="ListBullet"/>
      </w:pPr>
      <w:r>
        <w:t>No automatic privilege restoration.</w:t>
      </w:r>
    </w:p>
    <w:p>
      <w:pPr>
        <w:pStyle w:val="ListBullet"/>
      </w:pPr>
      <w:r>
        <w:t>No automatic Authorization Matrix changes.</w:t>
      </w:r>
    </w:p>
    <w:p>
      <w:pPr>
        <w:pStyle w:val="ListBullet"/>
      </w:pPr>
      <w:r>
        <w:t>No hidden recovery authority.</w:t>
      </w:r>
    </w:p>
    <w:p>
      <w:pPr>
        <w:pStyle w:val="ListBullet"/>
      </w:pPr>
      <w:r>
        <w:t>No bypass of Trust Registry governance.</w:t>
      </w:r>
    </w:p>
    <w:p>
      <w:pPr>
        <w:pStyle w:val="Heading1"/>
      </w:pPr>
      <w:r>
        <w:t>6.5 Recovery Failure and Security Behavior</w:t>
      </w:r>
    </w:p>
    <w:p>
      <w:pPr>
        <w:pStyle w:val="ListBullet"/>
      </w:pPr>
      <w:r>
        <w:t>Unauthorized recovery requests must be denied.</w:t>
      </w:r>
    </w:p>
    <w:p>
      <w:pPr>
        <w:pStyle w:val="ListBullet"/>
      </w:pPr>
      <w:r>
        <w:t>Recovery of a compromised identity key must not allow the compromised key to remain active.</w:t>
      </w:r>
    </w:p>
    <w:p>
      <w:pPr>
        <w:pStyle w:val="ListBullet"/>
      </w:pPr>
      <w:r>
        <w:t>A failed recovery must not partially restore identity control.</w:t>
      </w:r>
    </w:p>
    <w:p>
      <w:pPr>
        <w:pStyle w:val="ListBullet"/>
      </w:pPr>
      <w:r>
        <w:t>Recovery actions must be auditable.</w:t>
      </w:r>
    </w:p>
    <w:p>
      <w:pPr>
        <w:pStyle w:val="Heading1"/>
      </w:pPr>
      <w:r>
        <w:t>6.6 G2 Success Criteria</w:t>
      </w:r>
    </w:p>
    <w:p>
      <w:pPr>
        <w:pStyle w:val="ListBullet"/>
      </w:pPr>
      <w:r>
        <w:t>Authorized recovery request succeeds through the defined workflow.</w:t>
      </w:r>
    </w:p>
    <w:p>
      <w:pPr>
        <w:pStyle w:val="ListBullet"/>
      </w:pPr>
      <w:r>
        <w:t>Unauthorized recovery request fails.</w:t>
      </w:r>
    </w:p>
    <w:p>
      <w:pPr>
        <w:pStyle w:val="ListBullet"/>
      </w:pPr>
      <w:r>
        <w:t>Old/compromised key is retired.</w:t>
      </w:r>
    </w:p>
    <w:p>
      <w:pPr>
        <w:pStyle w:val="ListBullet"/>
      </w:pPr>
      <w:r>
        <w:t>Replacement key becomes active.</w:t>
      </w:r>
    </w:p>
    <w:p>
      <w:pPr>
        <w:pStyle w:val="ListBullet"/>
      </w:pPr>
      <w:r>
        <w:t>DID continuity is preserved where applicable.</w:t>
      </w:r>
    </w:p>
    <w:p>
      <w:pPr>
        <w:pStyle w:val="ListBullet"/>
      </w:pPr>
      <w:r>
        <w:t>No credential or authorization-policy mutation occurs as an automatic recovery side effect.</w:t>
      </w:r>
    </w:p>
    <w:p>
      <w:pPr>
        <w:pStyle w:val="ListBullet"/>
      </w:pPr>
      <w:r>
        <w:t>Recovery events are recorded through the governed audit path.</w:t>
      </w:r>
    </w:p>
    <w:p>
      <w:pPr>
        <w:pStyle w:val="Heading1"/>
      </w:pPr>
      <w:r>
        <w:t>7. Conditional Workstreams</w:t>
      </w:r>
    </w:p>
    <w:p>
      <w:pPr>
        <w:pStyle w:val="Heading2"/>
      </w:pPr>
      <w:r>
        <w:t>7.1 G3 — Centralized Audit Visibility</w:t>
      </w:r>
    </w:p>
    <w:p>
      <w:r>
        <w:t>Centralized audit aggregation, alerting, or SIEM integration is not required for core Phase 2.6 closure. It may be added if deployment requirements justify it.</w:t>
      </w:r>
    </w:p>
    <w:p>
      <w:r>
        <w:t>If implemented, it must consume the existing governed audit events and must not increase the amount of sensitive identity material logged merely to support monitoring.</w:t>
      </w:r>
    </w:p>
    <w:p>
      <w:pPr>
        <w:pStyle w:val="Heading2"/>
      </w:pPr>
      <w:r>
        <w:t>7.2 G1 — Shared Nonce Backend</w:t>
      </w:r>
    </w:p>
    <w:p>
      <w:r>
        <w:t>The existing NonceStore is correct for the current single-host topology. A shared backend becomes a Phase 2.6 requirement only if multi-node identity deployment is explicitly planned.</w:t>
      </w:r>
    </w:p>
    <w:p>
      <w:r>
        <w:t>The existing NonceStore interface should remain the abstraction boundary.</w:t>
      </w:r>
    </w:p>
    <w:p>
      <w:pPr>
        <w:pStyle w:val="Heading2"/>
      </w:pPr>
      <w:r>
        <w:t>7.3 G6 — External-Resolution Review Trigger</w:t>
      </w:r>
    </w:p>
    <w:p>
      <w:r>
        <w:t>A lightweight governance/process mechanism may formalize when the project reviews its did:key-only DID method and local-resolution policy. This must remain a policy process rather than automatic activation of external resolution.</w:t>
      </w:r>
    </w:p>
    <w:p>
      <w:pPr>
        <w:pStyle w:val="Heading1"/>
      </w:pPr>
      <w:r>
        <w:t>8. Explicitly Deferred</w:t>
      </w:r>
    </w:p>
    <w:p>
      <w:pPr>
        <w:pStyle w:val="Heading2"/>
      </w:pPr>
      <w:r>
        <w:t>8.1 G5 — Additional DID Methods</w:t>
      </w:r>
    </w:p>
    <w:p>
      <w:r>
        <w:t>Additional DID methods remain deferred unless a concrete interoperability requirement emerges.</w:t>
      </w:r>
    </w:p>
    <w:p>
      <w:pPr>
        <w:pStyle w:val="Heading2"/>
      </w:pPr>
      <w:r>
        <w:t>8.2 G7 — ZKP / Selective Disclosure</w:t>
      </w:r>
    </w:p>
    <w:p>
      <w:r>
        <w:t>Zero-Knowledge Proofs and full selective disclosure remain explicitly deferred. They require a separate, explicit architecture and scope decision.</w:t>
      </w:r>
    </w:p>
    <w:p>
      <w:pPr>
        <w:pStyle w:val="Heading1"/>
      </w:pPr>
      <w:r>
        <w:t>9. Operational and Architectural Boundaries</w:t>
      </w:r>
    </w:p>
    <w:p>
      <w:pPr>
        <w:pStyle w:val="ListBullet"/>
      </w:pPr>
      <w:r>
        <w:t>No Fusion Engine changes.</w:t>
      </w:r>
    </w:p>
    <w:p>
      <w:pPr>
        <w:pStyle w:val="ListBullet"/>
      </w:pPr>
      <w:r>
        <w:t>No Sensor Module changes.</w:t>
      </w:r>
    </w:p>
    <w:p>
      <w:pPr>
        <w:pStyle w:val="ListBullet"/>
      </w:pPr>
      <w:r>
        <w:t>No DetectionReadPort redesign.</w:t>
      </w:r>
    </w:p>
    <w:p>
      <w:pPr>
        <w:pStyle w:val="ListBullet"/>
      </w:pPr>
      <w:r>
        <w:t>No Capability Layer identity logic.</w:t>
      </w:r>
    </w:p>
    <w:p>
      <w:pPr>
        <w:pStyle w:val="ListBullet"/>
      </w:pPr>
      <w:r>
        <w:t>No Trust Registry redesign.</w:t>
      </w:r>
    </w:p>
    <w:p>
      <w:pPr>
        <w:pStyle w:val="ListBullet"/>
      </w:pPr>
      <w:r>
        <w:t>No Authorization Matrix redesign.</w:t>
      </w:r>
    </w:p>
    <w:p>
      <w:pPr>
        <w:pStyle w:val="ListBullet"/>
      </w:pPr>
      <w:r>
        <w:t>No credential lifecycle redesign.</w:t>
      </w:r>
    </w:p>
    <w:p>
      <w:pPr>
        <w:pStyle w:val="ListBullet"/>
      </w:pPr>
      <w:r>
        <w:t>No movement of operational sensor/detection data into identity infrastructure.</w:t>
      </w:r>
    </w:p>
    <w:p>
      <w:pPr>
        <w:pStyle w:val="Heading1"/>
      </w:pPr>
      <w:r>
        <w:t>10. Privacy and Compliance Requirements</w:t>
      </w:r>
    </w:p>
    <w:p>
      <w:pPr>
        <w:pStyle w:val="ListBullet"/>
      </w:pPr>
      <w:r>
        <w:t>Audit retention must follow minimum-necessary data principles.</w:t>
      </w:r>
    </w:p>
    <w:p>
      <w:pPr>
        <w:pStyle w:val="ListBullet"/>
      </w:pPr>
      <w:r>
        <w:t>Audit access must be least-privilege.</w:t>
      </w:r>
    </w:p>
    <w:p>
      <w:pPr>
        <w:pStyle w:val="ListBullet"/>
      </w:pPr>
      <w:r>
        <w:t>Tamper-evidence must not require retaining reusable authentication material.</w:t>
      </w:r>
    </w:p>
    <w:p>
      <w:pPr>
        <w:pStyle w:val="ListBullet"/>
      </w:pPr>
      <w:r>
        <w:t>Recovery evidence must be limited to what is required to authorize and audit recovery.</w:t>
      </w:r>
    </w:p>
    <w:p>
      <w:pPr>
        <w:pStyle w:val="ListBullet"/>
      </w:pPr>
      <w:r>
        <w:t>Identity audit records remain distinct from humanitarian operational telemetry.</w:t>
      </w:r>
    </w:p>
    <w:p>
      <w:pPr>
        <w:pStyle w:val="Heading1"/>
      </w:pPr>
      <w:r>
        <w:t>11. Testing Requirements</w:t>
      </w:r>
    </w:p>
    <w:p>
      <w:r>
        <w:t>Phase 2.6 must include tests for:</w:t>
      </w:r>
    </w:p>
    <w:p>
      <w:pPr>
        <w:pStyle w:val="ListBullet"/>
      </w:pPr>
      <w:r>
        <w:t>Retention policy behavior.</w:t>
      </w:r>
    </w:p>
    <w:p>
      <w:pPr>
        <w:pStyle w:val="ListBullet"/>
      </w:pPr>
      <w:r>
        <w:t>Audit-log access authorization and denial.</w:t>
      </w:r>
    </w:p>
    <w:p>
      <w:pPr>
        <w:pStyle w:val="ListBullet"/>
      </w:pPr>
      <w:r>
        <w:t>Audit-record integrity/tamper detection.</w:t>
      </w:r>
    </w:p>
    <w:p>
      <w:pPr>
        <w:pStyle w:val="ListBullet"/>
      </w:pPr>
      <w:r>
        <w:t>Recovery authorization and denial.</w:t>
      </w:r>
    </w:p>
    <w:p>
      <w:pPr>
        <w:pStyle w:val="ListBullet"/>
      </w:pPr>
      <w:r>
        <w:t>Key retirement and replacement during recovery.</w:t>
      </w:r>
    </w:p>
    <w:p>
      <w:pPr>
        <w:pStyle w:val="ListBullet"/>
      </w:pPr>
      <w:r>
        <w:t>Recovery audit events.</w:t>
      </w:r>
    </w:p>
    <w:p>
      <w:pPr>
        <w:pStyle w:val="ListBullet"/>
      </w:pPr>
      <w:r>
        <w:t>Credential lifecycle regression.</w:t>
      </w:r>
    </w:p>
    <w:p>
      <w:pPr>
        <w:pStyle w:val="ListBullet"/>
      </w:pPr>
      <w:r>
        <w:t>Trust Registry governance regression.</w:t>
      </w:r>
    </w:p>
    <w:p>
      <w:pPr>
        <w:pStyle w:val="ListBullet"/>
      </w:pPr>
      <w:r>
        <w:t>Identity infrastructure regression.</w:t>
      </w:r>
    </w:p>
    <w:p>
      <w:pPr>
        <w:pStyle w:val="Heading1"/>
      </w:pPr>
      <w:r>
        <w:t>12. Regression Gate</w:t>
      </w:r>
    </w:p>
    <w:p>
      <w:r>
        <w:t>Phase 2.6 is not complete unless the established Phase 2.2, Phase 2.3, and Phase 2.4 regression suites continue to pass.</w:t>
      </w:r>
    </w:p>
    <w:p>
      <w:pPr>
        <w:pStyle w:val="ListBullet"/>
      </w:pPr>
      <w:r>
        <w:t>Phase 2.2 renewal / rotation</w:t>
      </w:r>
    </w:p>
    <w:p>
      <w:pPr>
        <w:pStyle w:val="ListBullet"/>
      </w:pPr>
      <w:r>
        <w:t>Phase 2.3 Trust Registry governance</w:t>
      </w:r>
    </w:p>
    <w:p>
      <w:pPr>
        <w:pStyle w:val="ListBullet"/>
      </w:pPr>
      <w:r>
        <w:t>Phase 2.4 identity infrastructure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G4 retention policy is defined and implemented.</w:t>
      </w:r>
    </w:p>
    <w:p>
      <w:pPr>
        <w:pStyle w:val="ListBullet"/>
      </w:pPr>
      <w:r>
        <w:t>G4 audit-log access control is defined and implemented.</w:t>
      </w:r>
    </w:p>
    <w:p>
      <w:pPr>
        <w:pStyle w:val="ListBullet"/>
      </w:pPr>
      <w:r>
        <w:t>G4 audit integrity/tamper-evidence is defined and implemented or explicitly approved for the deployment model.</w:t>
      </w:r>
    </w:p>
    <w:p>
      <w:pPr>
        <w:pStyle w:val="ListBullet"/>
      </w:pPr>
      <w:r>
        <w:t>G2 recovery executor is implemented within the existing policy boundary.</w:t>
      </w:r>
    </w:p>
    <w:p>
      <w:pPr>
        <w:pStyle w:val="ListBullet"/>
      </w:pPr>
      <w:r>
        <w:t>Recovery does not automatically modify credentials or authorization.</w:t>
      </w:r>
    </w:p>
    <w:p>
      <w:pPr>
        <w:pStyle w:val="ListBullet"/>
      </w:pPr>
      <w:r>
        <w:t>G3 is either explicitly deferred or implemented without expanding sensitive audit collection.</w:t>
      </w:r>
    </w:p>
    <w:p>
      <w:pPr>
        <w:pStyle w:val="ListBullet"/>
      </w:pPr>
      <w:r>
        <w:t>G1 remains deferred unless multi-node identity deployment is committed.</w:t>
      </w:r>
    </w:p>
    <w:p>
      <w:pPr>
        <w:pStyle w:val="ListBullet"/>
      </w:pPr>
      <w:r>
        <w:t>G6 review trigger is documented if retained in Phase 2.6 scope.</w:t>
      </w:r>
    </w:p>
    <w:p>
      <w:pPr>
        <w:pStyle w:val="ListBullet"/>
      </w:pPr>
      <w:r>
        <w:t>G5 and G7 remain deferred unless separately re-scoped.</w:t>
      </w:r>
    </w:p>
    <w:p>
      <w:pPr>
        <w:pStyle w:val="ListBullet"/>
      </w:pPr>
      <w:r>
        <w:t>All established regression suites remain passing.</w:t>
      </w:r>
    </w:p>
    <w:p>
      <w:pPr>
        <w:pStyle w:val="ListBullet"/>
      </w:pPr>
      <w:r>
        <w:t>Architecture boundaries remain intact.</w:t>
      </w:r>
    </w:p>
    <w:p>
      <w:pPr>
        <w:pStyle w:val="ListBullet"/>
      </w:pPr>
      <w:r>
        <w:t>Architecture audit and compliance impact assessment are updated.</w:t>
      </w:r>
    </w:p>
    <w:p>
      <w:pPr>
        <w:pStyle w:val="Heading1"/>
      </w:pPr>
      <w:r>
        <w:t>14. Phase 2.6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Phase 2.6 Treatment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</w:tr>
      <w:tr>
        <w:tc>
          <w:tcPr>
            <w:tcW w:type="dxa" w:w="2160"/>
          </w:tcPr>
          <w:p>
            <w:r>
              <w:t>G4 — Audit Log Governance</w:t>
            </w:r>
          </w:p>
        </w:tc>
        <w:tc>
          <w:tcPr>
            <w:tcW w:type="dxa" w:w="2160"/>
          </w:tcPr>
          <w:p>
            <w:r>
              <w:t>Foundation / MUST</w:t>
            </w:r>
          </w:p>
        </w:tc>
        <w:tc>
          <w:tcPr>
            <w:tcW w:type="dxa" w:w="2160"/>
          </w:tcPr>
          <w:p>
            <w:r>
              <w:t>Primary workstream</w:t>
            </w:r>
          </w:p>
        </w:tc>
        <w:tc>
          <w:tcPr>
            <w:tcW w:type="dxa" w:w="2160"/>
          </w:tcPr>
          <w:p>
            <w:r>
              <w:t>IN</w:t>
            </w:r>
          </w:p>
        </w:tc>
      </w:tr>
      <w:tr>
        <w:tc>
          <w:tcPr>
            <w:tcW w:type="dxa" w:w="2160"/>
          </w:tcPr>
          <w:p>
            <w:r>
              <w:t>G2 — Identity Recovery Executor</w:t>
            </w:r>
          </w:p>
        </w:tc>
        <w:tc>
          <w:tcPr>
            <w:tcW w:type="dxa" w:w="2160"/>
          </w:tcPr>
          <w:p>
            <w:r>
              <w:t>Foundation / MUST</w:t>
            </w:r>
          </w:p>
        </w:tc>
        <w:tc>
          <w:tcPr>
            <w:tcW w:type="dxa" w:w="2160"/>
          </w:tcPr>
          <w:p>
            <w:r>
              <w:t>Secondary workstream</w:t>
            </w:r>
          </w:p>
        </w:tc>
        <w:tc>
          <w:tcPr>
            <w:tcW w:type="dxa" w:w="2160"/>
          </w:tcPr>
          <w:p>
            <w:r>
              <w:t>IN</w:t>
            </w:r>
          </w:p>
        </w:tc>
      </w:tr>
      <w:tr>
        <w:tc>
          <w:tcPr>
            <w:tcW w:type="dxa" w:w="2160"/>
          </w:tcPr>
          <w:p>
            <w:r>
              <w:t>G3 — Centralized Audit Visibility</w:t>
            </w:r>
          </w:p>
        </w:tc>
        <w:tc>
          <w:tcPr>
            <w:tcW w:type="dxa" w:w="2160"/>
          </w:tcPr>
          <w:p>
            <w:r>
              <w:t>Hardening / SHOULD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G1 — Shared Nonce Backend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Only with multi-node plan</w:t>
            </w:r>
          </w:p>
        </w:tc>
        <w:tc>
          <w:tcPr>
            <w:tcW w:type="dxa" w:w="2160"/>
          </w:tcPr>
          <w:p>
            <w:r>
              <w:t>DEFER</w:t>
            </w:r>
          </w:p>
        </w:tc>
      </w:tr>
      <w:tr>
        <w:tc>
          <w:tcPr>
            <w:tcW w:type="dxa" w:w="2160"/>
          </w:tcPr>
          <w:p>
            <w:r>
              <w:t>G6 — Resolution Review Trigger</w:t>
            </w:r>
          </w:p>
        </w:tc>
        <w:tc>
          <w:tcPr>
            <w:tcW w:type="dxa" w:w="2160"/>
          </w:tcPr>
          <w:p>
            <w:r>
              <w:t>Light Foundation</w:t>
            </w:r>
          </w:p>
        </w:tc>
        <w:tc>
          <w:tcPr>
            <w:tcW w:type="dxa" w:w="2160"/>
          </w:tcPr>
          <w:p>
            <w:r>
              <w:t>Process/governance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G5 — Additional DID Methods</w:t>
            </w:r>
          </w:p>
        </w:tc>
        <w:tc>
          <w:tcPr>
            <w:tcW w:type="dxa" w:w="2160"/>
          </w:tcPr>
          <w:p>
            <w:r>
              <w:t>Future / Conditional</w:t>
            </w:r>
          </w:p>
        </w:tc>
        <w:tc>
          <w:tcPr>
            <w:tcW w:type="dxa" w:w="2160"/>
          </w:tcPr>
          <w:p>
            <w:r>
              <w:t>Concrete interoperability trigger required</w:t>
            </w:r>
          </w:p>
        </w:tc>
        <w:tc>
          <w:tcPr>
            <w:tcW w:type="dxa" w:w="2160"/>
          </w:tcPr>
          <w:p>
            <w:r>
              <w:t>DEFER</w:t>
            </w:r>
          </w:p>
        </w:tc>
      </w:tr>
      <w:tr>
        <w:tc>
          <w:tcPr>
            <w:tcW w:type="dxa" w:w="2160"/>
          </w:tcPr>
          <w:p>
            <w:r>
              <w:t>G7 — ZKP / Selective Disclosure</w:t>
            </w:r>
          </w:p>
        </w:tc>
        <w:tc>
          <w:tcPr>
            <w:tcW w:type="dxa" w:w="2160"/>
          </w:tcPr>
          <w:p>
            <w:r>
              <w:t>Future / Deferred</w:t>
            </w:r>
          </w:p>
        </w:tc>
        <w:tc>
          <w:tcPr>
            <w:tcW w:type="dxa" w:w="2160"/>
          </w:tcPr>
          <w:p>
            <w:r>
              <w:t>Separate future scope decision</w:t>
            </w:r>
          </w:p>
        </w:tc>
        <w:tc>
          <w:tcPr>
            <w:tcW w:type="dxa" w:w="2160"/>
          </w:tcPr>
          <w:p>
            <w:r>
              <w:t>DEFER</w:t>
            </w:r>
          </w:p>
        </w:tc>
      </w:tr>
    </w:tbl>
    <w:p>
      <w:pPr>
        <w:pStyle w:val="Heading1"/>
      </w:pPr>
      <w:r>
        <w:t>15. Architectural Principle</w:t>
      </w:r>
    </w:p>
    <w:p>
      <w:r>
        <w:rPr>
          <w:b/>
        </w:rPr>
        <w:t>Make the identity system governable and auditable first; then make it recoverable.</w:t>
      </w:r>
    </w:p>
    <w:p>
      <w:r>
        <w:t>Phase 2.6 should strengthen the controls around existing identity infrastructure rather than expanding the Identity Layer into unrelated interoperability, privacy, or operational domains.</w:t>
      </w:r>
    </w:p>
    <w:p>
      <w:pPr>
        <w:jc w:val="center"/>
      </w:pPr>
      <w:r>
        <w:rPr>
          <w:b/>
        </w:rPr>
        <w:t>PHASE 2.6 SPECIFICATION — READY FOR IMPLEMENTATION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