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2.8 — Gap Analysis</w:t>
      </w:r>
    </w:p>
    <w:p>
      <w:pPr>
        <w:jc w:val="center"/>
      </w:pPr>
      <w:r>
        <w:rPr>
          <w:i/>
        </w:rPr>
        <w:t>Operation Signal Forge</w:t>
        <w:br/>
        <w:t>Post-Phase 2.7 Planning Artifact</w:t>
        <w:br/>
        <w:t>Date: August 19, 2026</w:t>
        <w:br/>
        <w:t>Predecessor: Phase 2.7 — Identity Assurance &amp; Governance Hardening (Closed)</w:t>
      </w:r>
    </w:p>
    <w:p>
      <w:pPr>
        <w:pStyle w:val="Heading1"/>
      </w:pPr>
      <w:r>
        <w:t>1. Purpose</w:t>
      </w:r>
    </w:p>
    <w:p>
      <w:r>
        <w:t>This document identifies what remains open after Phase 2.7 so Phase 2.8 can be scoped deliberately. It is an analysis artifact, not an implementation plan or a commitment of work.</w:t>
      </w:r>
    </w:p>
    <w:p>
      <w:r>
        <w:t>Phase 2.7 closed with Architecture PASS, a completed non-certifying compliance assessment, and a 64/64 validation result. Its first independent-verification exercise is recorded separately with an explicit re-execution-rigor limitation.</w:t>
      </w:r>
    </w:p>
    <w:p>
      <w:pPr>
        <w:pStyle w:val="Heading1"/>
      </w:pPr>
      <w:r>
        <w:t>2. Evidence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Phase 2.7 implementation / regression</w:t>
            </w:r>
          </w:p>
        </w:tc>
        <w:tc>
          <w:tcPr>
            <w:tcW w:type="dxa" w:w="4320"/>
          </w:tcPr>
          <w:p>
            <w:r>
              <w:t>64/64 PASS</w:t>
            </w:r>
          </w:p>
        </w:tc>
      </w:tr>
      <w:tr>
        <w:tc>
          <w:tcPr>
            <w:tcW w:type="dxa" w:w="4320"/>
          </w:tcPr>
          <w:p>
            <w:r>
              <w:t>Phase 2.7 Architecture Audit</w:t>
            </w:r>
          </w:p>
        </w:tc>
        <w:tc>
          <w:tcPr>
            <w:tcW w:type="dxa" w:w="4320"/>
          </w:tcPr>
          <w:p>
            <w:r>
              <w:t>PASS with H1 re-execution-rigor limitation</w:t>
            </w:r>
          </w:p>
        </w:tc>
      </w:tr>
      <w:tr>
        <w:tc>
          <w:tcPr>
            <w:tcW w:type="dxa" w:w="4320"/>
          </w:tcPr>
          <w:p>
            <w:r>
              <w:t>Phase 2.7 Compliance Impact</w:t>
            </w:r>
          </w:p>
        </w:tc>
        <w:tc>
          <w:tcPr>
            <w:tcW w:type="dxa" w:w="4320"/>
          </w:tcPr>
          <w:p>
            <w:r>
              <w:t>ACCEPTABLE; H1 limitation carried forward</w:t>
            </w:r>
          </w:p>
        </w:tc>
      </w:tr>
      <w:tr>
        <w:tc>
          <w:tcPr>
            <w:tcW w:type="dxa" w:w="4320"/>
          </w:tcPr>
          <w:p>
            <w:r>
              <w:t>H1 verification record</w:t>
            </w:r>
          </w:p>
        </w:tc>
        <w:tc>
          <w:tcPr>
            <w:tcW w:type="dxa" w:w="4320"/>
          </w:tcPr>
          <w:p>
            <w:r>
              <w:t>Present; second-party, not isolated CI</w:t>
            </w:r>
          </w:p>
        </w:tc>
      </w:tr>
      <w:tr>
        <w:tc>
          <w:tcPr>
            <w:tcW w:type="dxa" w:w="4320"/>
          </w:tcPr>
          <w:p>
            <w:r>
              <w:t>H7 retention governance</w:t>
            </w:r>
          </w:p>
        </w:tc>
        <w:tc>
          <w:tcPr>
            <w:tcW w:type="dxa" w:w="4320"/>
          </w:tcPr>
          <w:p>
            <w:r>
              <w:t>Delivered</w:t>
            </w:r>
          </w:p>
        </w:tc>
      </w:tr>
      <w:tr>
        <w:tc>
          <w:tcPr>
            <w:tcW w:type="dxa" w:w="4320"/>
          </w:tcPr>
          <w:p>
            <w:r>
              <w:t>H2 privileged audit self-auditing</w:t>
            </w:r>
          </w:p>
        </w:tc>
        <w:tc>
          <w:tcPr>
            <w:tcW w:type="dxa" w:w="4320"/>
          </w:tcPr>
          <w:p>
            <w:r>
              <w:t>Delivered</w:t>
            </w:r>
          </w:p>
        </w:tc>
      </w:tr>
      <w:tr>
        <w:tc>
          <w:tcPr>
            <w:tcW w:type="dxa" w:w="4320"/>
          </w:tcPr>
          <w:p>
            <w:r>
              <w:t>H3 adversarial isolation tests</w:t>
            </w:r>
          </w:p>
        </w:tc>
        <w:tc>
          <w:tcPr>
            <w:tcW w:type="dxa" w:w="4320"/>
          </w:tcPr>
          <w:p>
            <w:r>
              <w:t>Delivered</w:t>
            </w:r>
          </w:p>
        </w:tc>
      </w:tr>
      <w:tr>
        <w:tc>
          <w:tcPr>
            <w:tcW w:type="dxa" w:w="4320"/>
          </w:tcPr>
          <w:p>
            <w:r>
              <w:t>H4 tamper-detection response</w:t>
            </w:r>
          </w:p>
        </w:tc>
        <w:tc>
          <w:tcPr>
            <w:tcW w:type="dxa" w:w="4320"/>
          </w:tcPr>
          <w:p>
            <w:r>
              <w:t>Delivered</w:t>
            </w:r>
          </w:p>
        </w:tc>
      </w:tr>
    </w:tbl>
    <w:p>
      <w:pPr>
        <w:pStyle w:val="Heading1"/>
      </w:pPr>
      <w:r>
        <w:t>3. What Phase 2.7 Closed</w:t>
      </w:r>
    </w:p>
    <w:p>
      <w:pPr>
        <w:pStyle w:val="ListBullet"/>
      </w:pPr>
      <w:r>
        <w:t>Independent Verification process existence (H1 process control).</w:t>
      </w:r>
    </w:p>
    <w:p>
      <w:pPr>
        <w:pStyle w:val="ListBullet"/>
      </w:pPr>
      <w:r>
        <w:t>Retention governance ownership and change authority (H7).</w:t>
      </w:r>
    </w:p>
    <w:p>
      <w:pPr>
        <w:pStyle w:val="ListBullet"/>
      </w:pPr>
      <w:r>
        <w:t>Privileged audit self-auditing (H2).</w:t>
      </w:r>
    </w:p>
    <w:p>
      <w:pPr>
        <w:pStyle w:val="ListBullet"/>
      </w:pPr>
      <w:r>
        <w:t>Behavioral adversarial isolation testing (H3).</w:t>
      </w:r>
    </w:p>
    <w:p>
      <w:pPr>
        <w:pStyle w:val="ListBullet"/>
      </w:pPr>
      <w:r>
        <w:t>Minimal tamper-detection response (H4).</w:t>
      </w:r>
    </w:p>
    <w:p>
      <w:pPr>
        <w:pStyle w:val="ListBullet"/>
      </w:pPr>
      <w:r>
        <w:t>Recovery authority model explicitly settled through the H5 ADR.</w:t>
      </w:r>
    </w:p>
    <w:p>
      <w:pPr>
        <w:pStyle w:val="Heading1"/>
      </w:pPr>
      <w:r>
        <w:t>4. What Remains Open</w:t>
      </w:r>
    </w:p>
    <w:p>
      <w:pPr>
        <w:pStyle w:val="ListBullet"/>
      </w:pPr>
      <w:r>
        <w:t>H1 — Independent verification re-execution rigor.</w:t>
      </w:r>
    </w:p>
    <w:p>
      <w:pPr>
        <w:pStyle w:val="ListBullet"/>
      </w:pPr>
      <w:r>
        <w:t>G1 — Multi-node NonceStore, conditional on deployment topology.</w:t>
      </w:r>
    </w:p>
    <w:p>
      <w:pPr>
        <w:pStyle w:val="ListBullet"/>
      </w:pPr>
      <w:r>
        <w:t>G3 — Centralized identity-security monitoring/SIEM, optional.</w:t>
      </w:r>
    </w:p>
    <w:p>
      <w:pPr>
        <w:pStyle w:val="ListBullet"/>
      </w:pPr>
      <w:r>
        <w:t>G5 — Additional DID methods, deferred.</w:t>
      </w:r>
    </w:p>
    <w:p>
      <w:pPr>
        <w:pStyle w:val="ListBullet"/>
      </w:pPr>
      <w:r>
        <w:t>G7 — ZKP/selective disclosure, deferred.</w:t>
      </w:r>
    </w:p>
    <w:p>
      <w:pPr>
        <w:pStyle w:val="ListBullet"/>
      </w:pPr>
      <w:r>
        <w:t>H6 — Holder recovery notification, deferred pending a trustworthy independent channel.</w:t>
      </w:r>
    </w:p>
    <w:p>
      <w:pPr>
        <w:pStyle w:val="Heading1"/>
      </w:pPr>
      <w:r>
        <w:t>5. Gap I1 — Independent Verification Re-Execution Rigor</w:t>
      </w:r>
    </w:p>
    <w:p>
      <w:r>
        <w:rPr>
          <w:b/>
        </w:rPr>
        <w:t>Classification: FOUNDATION / HIGH PRIORITY</w:t>
      </w:r>
    </w:p>
    <w:p>
      <w:r>
        <w:t>The H1 process now exists and a verification record is persisted, but the first exercise relied on implementer-reported console PASS output plus repository spot-checking rather than verifier-controlled isolated execution.</w:t>
      </w:r>
    </w:p>
    <w:p>
      <w:pPr>
        <w:pStyle w:val="ListBullet"/>
      </w:pPr>
      <w:r>
        <w:t>Independent verifier-controlled test execution.</w:t>
      </w:r>
    </w:p>
    <w:p>
      <w:pPr>
        <w:pStyle w:val="ListBullet"/>
      </w:pPr>
      <w:r>
        <w:t>Clear evidence artifact showing verifier-run results.</w:t>
      </w:r>
    </w:p>
    <w:p>
      <w:pPr>
        <w:pStyle w:val="ListBullet"/>
      </w:pPr>
      <w:r>
        <w:t>Repeatable verification environment.</w:t>
      </w:r>
    </w:p>
    <w:p>
      <w:pPr>
        <w:pStyle w:val="ListBullet"/>
      </w:pPr>
      <w:r>
        <w:t>Explicit distinction between spot-check verification and full re-execution.</w:t>
      </w:r>
    </w:p>
    <w:p>
      <w:r>
        <w:t>This is an assurance-process maturity gap, not evidence that the Phase 2.7 implementation controls failed.</w:t>
      </w:r>
    </w:p>
    <w:p>
      <w:pPr>
        <w:pStyle w:val="Heading1"/>
      </w:pPr>
      <w:r>
        <w:t>6. H1 Process Governance — Standing Verification Threshold</w:t>
      </w:r>
    </w:p>
    <w:p>
      <w:r>
        <w:rPr>
          <w:b/>
        </w:rPr>
        <w:t>Classification: PROCESS DECISION</w:t>
      </w:r>
    </w:p>
    <w:p>
      <w:r>
        <w:t>Determine whether full verifier-controlled execution should be mandatory for every future Architecture Audit or triggered only by a risk/phase threshold.</w:t>
      </w:r>
    </w:p>
    <w:p>
      <w:pPr>
        <w:pStyle w:val="ListBullet"/>
      </w:pPr>
      <w:r>
        <w:t>Define when isolated verifier-run execution is mandatory.</w:t>
      </w:r>
    </w:p>
    <w:p>
      <w:pPr>
        <w:pStyle w:val="ListBullet"/>
      </w:pPr>
      <w:r>
        <w:t>Define when repository spot-checking is sufficient.</w:t>
      </w:r>
    </w:p>
    <w:p>
      <w:pPr>
        <w:pStyle w:val="ListBullet"/>
      </w:pPr>
      <w:r>
        <w:t>Define who is eligible to perform independent verification.</w:t>
      </w:r>
    </w:p>
    <w:p>
      <w:pPr>
        <w:pStyle w:val="ListBullet"/>
      </w:pPr>
      <w:r>
        <w:t>Keep the eight-step Phase Engineering Lifecycle unchanged; this remains a Step 4 control.</w:t>
      </w:r>
    </w:p>
    <w:p>
      <w:pPr>
        <w:pStyle w:val="Heading1"/>
      </w:pPr>
      <w:r>
        <w:t>7. Gap G1 — Multi-Node NonceStore</w:t>
      </w:r>
    </w:p>
    <w:p>
      <w:r>
        <w:rPr>
          <w:b/>
        </w:rPr>
        <w:t>Classification: CONDITIONAL / DEFERRED</w:t>
      </w:r>
    </w:p>
    <w:p>
      <w:r>
        <w:t>The NonceStore remains single-host oriented. It is not a current correctness defect under the present topology but becomes important if identity presentation becomes multi-node.</w:t>
      </w:r>
    </w:p>
    <w:p>
      <w:r>
        <w:t>Do not implement shared nonce storage unless multi-node identity deployment is explicitly committed.</w:t>
      </w:r>
    </w:p>
    <w:p>
      <w:pPr>
        <w:pStyle w:val="Heading1"/>
      </w:pPr>
      <w:r>
        <w:t>8. Gap G3 — Centralized Identity Security Monitoring</w:t>
      </w:r>
    </w:p>
    <w:p>
      <w:r>
        <w:rPr>
          <w:b/>
        </w:rPr>
        <w:t>Classification: OPTIONAL / HARDENING</w:t>
      </w:r>
    </w:p>
    <w:p>
      <w:r>
        <w:t>Phase 2.7 added a narrow tamper-detection response but did not introduce full centralized SIEM/aggregation. Central monitoring remains optional.</w:t>
      </w:r>
    </w:p>
    <w:p>
      <w:pPr>
        <w:pStyle w:val="Heading1"/>
      </w:pPr>
      <w:r>
        <w:t>9. Gap G5 — DID Method Expansion</w:t>
      </w:r>
    </w:p>
    <w:p>
      <w:r>
        <w:rPr>
          <w:b/>
        </w:rPr>
        <w:t>Classification: FUTURE-DEFERRED / CONDITIONAL</w:t>
      </w:r>
    </w:p>
    <w:p>
      <w:r>
        <w:t>The Identity Layer remains intentionally narrow with did:key as the accepted and managed baseline. No concrete interoperability requirement currently justifies expanding DID support.</w:t>
      </w:r>
    </w:p>
    <w:p>
      <w:pPr>
        <w:pStyle w:val="Heading1"/>
      </w:pPr>
      <w:r>
        <w:t>10. Gap G7 — ZKP / Selective Disclosure</w:t>
      </w:r>
    </w:p>
    <w:p>
      <w:r>
        <w:rPr>
          <w:b/>
        </w:rPr>
        <w:t>Classification: FUTURE-DEFERRED</w:t>
      </w:r>
    </w:p>
    <w:p>
      <w:r>
        <w:t>ZKP and selective disclosure remain explicitly deferred. Their absence is not a Phase 2.7 defect and should not be promoted into Phase 2.8 without a separate scope decision.</w:t>
      </w:r>
    </w:p>
    <w:p>
      <w:pPr>
        <w:pStyle w:val="Heading1"/>
      </w:pPr>
      <w:r>
        <w:t>11. Gap H6 — Holder Recovery Notification</w:t>
      </w:r>
    </w:p>
    <w:p>
      <w:r>
        <w:rPr>
          <w:b/>
        </w:rPr>
        <w:t>Classification: CONDITIONAL / DECISION</w:t>
      </w:r>
    </w:p>
    <w:p>
      <w:r>
        <w:t>Phase 2.7 deferred holder notification because no trustworthy independent channel was available.</w:t>
      </w:r>
    </w:p>
    <w:p>
      <w:pPr>
        <w:pStyle w:val="ListBullet"/>
      </w:pPr>
      <w:r>
        <w:t>Determine whether a trustworthy out-of-band channel exists.</w:t>
      </w:r>
    </w:p>
    <w:p>
      <w:pPr>
        <w:pStyle w:val="ListBullet"/>
      </w:pPr>
      <w:r>
        <w:t>Determine whether the legitimate holder would receive it.</w:t>
      </w:r>
    </w:p>
    <w:p>
      <w:pPr>
        <w:pStyle w:val="ListBullet"/>
      </w:pPr>
      <w:r>
        <w:t>Do not add a notification mechanism that creates false assurance.</w:t>
      </w:r>
    </w:p>
    <w:p>
      <w:pPr>
        <w:pStyle w:val="Heading1"/>
      </w:pPr>
      <w:r>
        <w:t>12. Closed Gaps That Should Not Reopen</w:t>
      </w:r>
    </w:p>
    <w:p>
      <w:pPr>
        <w:pStyle w:val="ListBullet"/>
      </w:pPr>
      <w:r>
        <w:t>H7 retention governance ownership.</w:t>
      </w:r>
    </w:p>
    <w:p>
      <w:pPr>
        <w:pStyle w:val="ListBullet"/>
      </w:pPr>
      <w:r>
        <w:t>H2 privileged audit self-auditing.</w:t>
      </w:r>
    </w:p>
    <w:p>
      <w:pPr>
        <w:pStyle w:val="ListBullet"/>
      </w:pPr>
      <w:r>
        <w:t>H3 adversarial isolation testing baseline.</w:t>
      </w:r>
    </w:p>
    <w:p>
      <w:pPr>
        <w:pStyle w:val="ListBullet"/>
      </w:pPr>
      <w:r>
        <w:t>H4 minimal tamper-detection response.</w:t>
      </w:r>
    </w:p>
    <w:p>
      <w:pPr>
        <w:pStyle w:val="ListBullet"/>
      </w:pPr>
      <w:r>
        <w:t>H5 single designated recovery authority baseline.</w:t>
      </w:r>
    </w:p>
    <w:p>
      <w:pPr>
        <w:pStyle w:val="ListBullet"/>
      </w:pPr>
      <w:r>
        <w:t>Credential lifecycle separation.</w:t>
      </w:r>
    </w:p>
    <w:p>
      <w:pPr>
        <w:pStyle w:val="ListBullet"/>
      </w:pPr>
      <w:r>
        <w:t>Trust Registry / Authorization Matrix / Capability Layer boundaries.</w:t>
      </w:r>
    </w:p>
    <w:p>
      <w:pPr>
        <w:pStyle w:val="Heading1"/>
      </w:pPr>
      <w:r>
        <w:t>13. Phase 2.8 Prioritization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Gap / Decision</w:t>
            </w:r>
          </w:p>
        </w:tc>
        <w:tc>
          <w:tcPr>
            <w:tcW w:type="dxa" w:w="2880"/>
          </w:tcPr>
          <w:p>
            <w:r>
              <w:t>Classification</w:t>
            </w:r>
          </w:p>
        </w:tc>
        <w:tc>
          <w:tcPr>
            <w:tcW w:type="dxa" w:w="2880"/>
          </w:tcPr>
          <w:p>
            <w:r>
              <w:t>Treatment</w:t>
            </w:r>
          </w:p>
        </w:tc>
      </w:tr>
      <w:tr>
        <w:tc>
          <w:tcPr>
            <w:tcW w:type="dxa" w:w="2880"/>
          </w:tcPr>
          <w:p>
            <w:r>
              <w:t>I1 — Independent verification re-execution rigor</w:t>
            </w:r>
          </w:p>
        </w:tc>
        <w:tc>
          <w:tcPr>
            <w:tcW w:type="dxa" w:w="2880"/>
          </w:tcPr>
          <w:p>
            <w:r>
              <w:t>Foundation / MUST CONSIDER</w:t>
            </w:r>
          </w:p>
        </w:tc>
        <w:tc>
          <w:tcPr>
            <w:tcW w:type="dxa" w:w="2880"/>
          </w:tcPr>
          <w:p>
            <w:r>
              <w:t>Primary candidate</w:t>
            </w:r>
          </w:p>
        </w:tc>
      </w:tr>
      <w:tr>
        <w:tc>
          <w:tcPr>
            <w:tcW w:type="dxa" w:w="2880"/>
          </w:tcPr>
          <w:p>
            <w:r>
              <w:t>H1 standing verification threshold</w:t>
            </w:r>
          </w:p>
        </w:tc>
        <w:tc>
          <w:tcPr>
            <w:tcW w:type="dxa" w:w="2880"/>
          </w:tcPr>
          <w:p>
            <w:r>
              <w:t>Process decision</w:t>
            </w:r>
          </w:p>
        </w:tc>
        <w:tc>
          <w:tcPr>
            <w:tcW w:type="dxa" w:w="2880"/>
          </w:tcPr>
          <w:p>
            <w:r>
              <w:t>Resolve before specification</w:t>
            </w:r>
          </w:p>
        </w:tc>
      </w:tr>
      <w:tr>
        <w:tc>
          <w:tcPr>
            <w:tcW w:type="dxa" w:w="2880"/>
          </w:tcPr>
          <w:p>
            <w:r>
              <w:t>H6 holder notification</w:t>
            </w:r>
          </w:p>
        </w:tc>
        <w:tc>
          <w:tcPr>
            <w:tcW w:type="dxa" w:w="2880"/>
          </w:tcPr>
          <w:p>
            <w:r>
              <w:t>Conditional</w:t>
            </w:r>
          </w:p>
        </w:tc>
        <w:tc>
          <w:tcPr>
            <w:tcW w:type="dxa" w:w="2880"/>
          </w:tcPr>
          <w:p>
            <w:r>
              <w:t>Only if trustworthy channel exists</w:t>
            </w:r>
          </w:p>
        </w:tc>
      </w:tr>
      <w:tr>
        <w:tc>
          <w:tcPr>
            <w:tcW w:type="dxa" w:w="2880"/>
          </w:tcPr>
          <w:p>
            <w:r>
              <w:t>G3 centralized monitoring/SIEM</w:t>
            </w:r>
          </w:p>
        </w:tc>
        <w:tc>
          <w:tcPr>
            <w:tcW w:type="dxa" w:w="2880"/>
          </w:tcPr>
          <w:p>
            <w:r>
              <w:t>Optional hardening</w:t>
            </w:r>
          </w:p>
        </w:tc>
        <w:tc>
          <w:tcPr>
            <w:tcW w:type="dxa" w:w="2880"/>
          </w:tcPr>
          <w:p>
            <w:r>
              <w:t>Conditional</w:t>
            </w:r>
          </w:p>
        </w:tc>
      </w:tr>
      <w:tr>
        <w:tc>
          <w:tcPr>
            <w:tcW w:type="dxa" w:w="2880"/>
          </w:tcPr>
          <w:p>
            <w:r>
              <w:t>G1 shared NonceStore</w:t>
            </w:r>
          </w:p>
        </w:tc>
        <w:tc>
          <w:tcPr>
            <w:tcW w:type="dxa" w:w="2880"/>
          </w:tcPr>
          <w:p>
            <w:r>
              <w:t>Conditional</w:t>
            </w:r>
          </w:p>
        </w:tc>
        <w:tc>
          <w:tcPr>
            <w:tcW w:type="dxa" w:w="2880"/>
          </w:tcPr>
          <w:p>
            <w:r>
              <w:t>Only with multi-node plan</w:t>
            </w:r>
          </w:p>
        </w:tc>
      </w:tr>
      <w:tr>
        <w:tc>
          <w:tcPr>
            <w:tcW w:type="dxa" w:w="2880"/>
          </w:tcPr>
          <w:p>
            <w:r>
              <w:t>G5 additional DID methods</w:t>
            </w:r>
          </w:p>
        </w:tc>
        <w:tc>
          <w:tcPr>
            <w:tcW w:type="dxa" w:w="2880"/>
          </w:tcPr>
          <w:p>
            <w:r>
              <w:t>Future-deferred</w:t>
            </w:r>
          </w:p>
        </w:tc>
        <w:tc>
          <w:tcPr>
            <w:tcW w:type="dxa" w:w="2880"/>
          </w:tcPr>
          <w:p>
            <w:r>
              <w:t>Concrete interoperability need required</w:t>
            </w:r>
          </w:p>
        </w:tc>
      </w:tr>
      <w:tr>
        <w:tc>
          <w:tcPr>
            <w:tcW w:type="dxa" w:w="2880"/>
          </w:tcPr>
          <w:p>
            <w:r>
              <w:t>G7 ZKP/selective disclosure</w:t>
            </w:r>
          </w:p>
        </w:tc>
        <w:tc>
          <w:tcPr>
            <w:tcW w:type="dxa" w:w="2880"/>
          </w:tcPr>
          <w:p>
            <w:r>
              <w:t>Future-deferred</w:t>
            </w:r>
          </w:p>
        </w:tc>
        <w:tc>
          <w:tcPr>
            <w:tcW w:type="dxa" w:w="2880"/>
          </w:tcPr>
          <w:p>
            <w:r>
              <w:t>Separate future scope decision</w:t>
            </w:r>
          </w:p>
        </w:tc>
      </w:tr>
    </w:tbl>
    <w:p>
      <w:pPr>
        <w:pStyle w:val="Heading1"/>
      </w:pPr>
      <w:r>
        <w:t>14. Recommended Phase 2.8 Direction</w:t>
      </w:r>
    </w:p>
    <w:p>
      <w:r>
        <w:t>1. Close the H1 independent-re-execution rigor gap.</w:t>
      </w:r>
    </w:p>
    <w:p>
      <w:r>
        <w:t>2. Formalize the risk-based threshold for when full independent test execution is required.</w:t>
      </w:r>
    </w:p>
    <w:p>
      <w:r>
        <w:t>3. Resolve H6 only if a trustworthy notification channel exists.</w:t>
      </w:r>
    </w:p>
    <w:p>
      <w:r>
        <w:t>4. Reassess G3/G1 only when deployment topology or operational monitoring requirements justify them.</w:t>
      </w:r>
    </w:p>
    <w:p>
      <w:r>
        <w:t>5. Keep G5 and G7 deferred until concrete requirements emerge.</w:t>
      </w:r>
    </w:p>
    <w:p>
      <w:pPr>
        <w:pStyle w:val="Heading1"/>
      </w:pPr>
      <w:r>
        <w:t>15. Decision Questions Before Phase 2.8 Specification</w:t>
      </w:r>
    </w:p>
    <w:p>
      <w:pPr>
        <w:pStyle w:val="ListBullet"/>
      </w:pPr>
      <w:r>
        <w:t>Should full verifier-controlled CI execution be required for every future Architecture Audit?</w:t>
      </w:r>
    </w:p>
    <w:p>
      <w:pPr>
        <w:pStyle w:val="ListBullet"/>
      </w:pPr>
      <w:r>
        <w:t>If not, what risk/phase threshold triggers mandatory isolated execution?</w:t>
      </w:r>
    </w:p>
    <w:p>
      <w:pPr>
        <w:pStyle w:val="ListBullet"/>
      </w:pPr>
      <w:r>
        <w:t>Does Signal Forge have a trustworthy independent channel for holder recovery notification?</w:t>
      </w:r>
    </w:p>
    <w:p>
      <w:pPr>
        <w:pStyle w:val="ListBullet"/>
      </w:pPr>
      <w:r>
        <w:t>Is there a near-term plan for multi-node identity deployment?</w:t>
      </w:r>
    </w:p>
    <w:p>
      <w:pPr>
        <w:pStyle w:val="ListBullet"/>
      </w:pPr>
      <w:r>
        <w:t>Is there a concrete operational requirement for centralized identity-security monitoring?</w:t>
      </w:r>
    </w:p>
    <w:p>
      <w:pPr>
        <w:pStyle w:val="ListBullet"/>
      </w:pPr>
      <w:r>
        <w:t>Has a real counterparty/partner requirement emerged for another DID method?</w:t>
      </w:r>
    </w:p>
    <w:p>
      <w:pPr>
        <w:pStyle w:val="Heading1"/>
      </w:pPr>
      <w:r>
        <w:t>16. Hard Boundaries</w:t>
      </w:r>
    </w:p>
    <w:p>
      <w:pPr>
        <w:pStyle w:val="ListBullet"/>
      </w:pPr>
      <w:r>
        <w:t>No credential lifecycle redesign.</w:t>
      </w:r>
    </w:p>
    <w:p>
      <w:pPr>
        <w:pStyle w:val="ListBullet"/>
      </w:pPr>
      <w:r>
        <w:t>No automatic credential mutation through recovery.</w:t>
      </w:r>
    </w:p>
    <w:p>
      <w:pPr>
        <w:pStyle w:val="ListBullet"/>
      </w:pPr>
      <w:r>
        <w:t>No automatic privilege restoration.</w:t>
      </w:r>
    </w:p>
    <w:p>
      <w:pPr>
        <w:pStyle w:val="ListBullet"/>
      </w:pPr>
      <w:r>
        <w:t>No Trust Registry redesign.</w:t>
      </w:r>
    </w:p>
    <w:p>
      <w:pPr>
        <w:pStyle w:val="ListBullet"/>
      </w:pPr>
      <w:r>
        <w:t>No Authorization Matrix redesign.</w:t>
      </w:r>
    </w:p>
    <w:p>
      <w:pPr>
        <w:pStyle w:val="ListBullet"/>
      </w:pPr>
      <w:r>
        <w:t>No Capability Layer redesign.</w:t>
      </w:r>
    </w:p>
    <w:p>
      <w:pPr>
        <w:pStyle w:val="ListBullet"/>
      </w:pPr>
      <w:r>
        <w:t>No mandatory external DID infrastructure.</w:t>
      </w:r>
    </w:p>
    <w:p>
      <w:pPr>
        <w:pStyle w:val="ListBullet"/>
      </w:pPr>
      <w:r>
        <w:t>No ZKP/selective-disclosure implementation without a separate scope decision.</w:t>
      </w:r>
    </w:p>
    <w:p>
      <w:pPr>
        <w:pStyle w:val="Heading1"/>
      </w:pPr>
      <w:r>
        <w:t>17. Conclusion</w:t>
      </w:r>
    </w:p>
    <w:p>
      <w:r>
        <w:t>Phase 2.7 substantially reduced governance and assurance gaps around the Identity Layer. The most important remaining issue is now assurance maturity: how independently and rigorously the project proves that its controls work.</w:t>
      </w:r>
    </w:p>
    <w:p>
      <w:r>
        <w:rPr>
          <w:b/>
        </w:rPr>
        <w:t>Phase 2.8 should therefore mature the assurance process before expanding the Identity Layer into new interoperability or privacy capabilities.</w:t>
      </w:r>
    </w:p>
    <w:p>
      <w:r>
        <w:t>This gap analysis does not commit Phase 2.8 to a specific implementation scope. It identifies evidence-backed gaps and the decisions required before the next specification.</w:t>
      </w:r>
    </w:p>
    <w:p>
      <w:pPr>
        <w:jc w:val="center"/>
      </w:pPr>
      <w:r>
        <w:rPr>
          <w:b/>
        </w:rPr>
        <w:t>PHASE 2.8 GAP ANALYSIS — READY FOR ARCHITECTURAL REVIEW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