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Phase 2.6 — Gap Analysis</w:t>
      </w:r>
    </w:p>
    <w:p>
      <w:pPr>
        <w:spacing w:after="160"/>
      </w:pPr>
      <w:r>
        <w:rPr>
          <w:b/>
          <w:bCs/>
        </w:rPr>
        <w:t xml:space="preserve">Created by:</w:t>
      </w:r>
      <w:r>
        <w:t xml:space="preserve"> Claude</w:t>
      </w:r>
    </w:p>
    <w:p>
      <w:pPr>
        <w:spacing w:after="160"/>
      </w:pPr>
      <w:r>
        <w:rPr>
          <w:b/>
          <w:bCs/>
        </w:rPr>
        <w:t xml:space="preserve">Model:</w:t>
      </w:r>
      <w:r>
        <w:t xml:space="preserve"> Sonnet 5</w:t>
      </w:r>
    </w:p>
    <w:p>
      <w:pPr>
        <w:spacing w:after="160"/>
      </w:pPr>
      <w:r>
        <w:rPr>
          <w:b/>
          <w:bCs/>
        </w:rPr>
        <w:t xml:space="preserve">Time of record:</w:t>
      </w:r>
      <w:r>
        <w:t xml:space="preserve"> 2026-08-15</w:t>
      </w:r>
    </w:p>
    <w:p>
      <w:pPr>
        <w:spacing w:after="160"/>
      </w:pPr>
      <w:r>
        <w:rPr>
          <w:b/>
          <w:bCs/>
        </w:rPr>
        <w:t xml:space="preserve">Predecessor:</w:t>
      </w:r>
      <w:r>
        <w:t xml:space="preserve"> Phase 2.5 — Identity Operational Hardening &amp; Interoperability Foundations (Status: Complete, Architecture audit: PASS)</w:t>
      </w:r>
    </w:p>
    <w:p>
      <w:pPr>
        <w:spacing w:after="160"/>
      </w:pPr>
      <w:r>
        <w:rPr>
          <w:b/>
          <w:bCs/>
        </w:rPr>
        <w:t xml:space="preserve">Purpose:</w:t>
      </w:r>
      <w:r>
        <w:t xml:space="preserve"> Identify what remains open after Phase 2.5 so Phase 2.6 can be scoped deliberately. This is an analysis document, not an implementation plan or a commitment of work.</w:t>
      </w:r>
    </w:p>
    <w:p>
      <w:pPr>
        <w:pStyle w:val="Heading2"/>
        <w:spacing w:after="120" w:before="240"/>
      </w:pPr>
      <w:r>
        <w:rPr>
          <w:b/>
          <w:bCs/>
        </w:rPr>
        <w:t xml:space="preserve">Purpose &amp; scope</w:t>
      </w:r>
    </w:p>
    <w:p>
      <w:pPr>
        <w:spacing w:after="160"/>
      </w:pPr>
      <w:r>
        <w:t xml:space="preserve">Phase 2.5 closed with a PASS architecture audit, a 50/50 regression suite, and a recorded (non-certifying) compliance impact assessment. It also closed carrying three named residuals and four explicit non-goals. This analysis takes those residuals, non-goals, and the compliance assessment's flagged open items as its raw material, and asks a single question for each: </w:t>
      </w:r>
      <w:r>
        <w:rPr>
          <w:b/>
          <w:bCs/>
        </w:rPr>
        <w:t xml:space="preserve">is this now a candidate for Phase 2.6, or should it remain deferred?</w:t>
      </w:r>
    </w:p>
    <w:p>
      <w:pPr>
        <w:spacing w:after="160"/>
      </w:pPr>
      <w:r>
        <w:t xml:space="preserve">This document does not reopen Phase 2.5. The credential lifecycle, the nine preserved invariants, and the architecture audit's PASS verdict are treated as settled and are not re-evaluated here.</w:t>
      </w:r>
    </w:p>
    <w:p>
      <w:pPr>
        <w:pStyle w:val="Heading2"/>
        <w:spacing w:after="120" w:before="240"/>
      </w:pPr>
      <w:r>
        <w:rPr>
          <w:b/>
          <w:bCs/>
        </w:rPr>
        <w:t xml:space="preserve">Inputs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2.5 milestone record (delivered artifacts, residuals, explicit non-goals, validation results)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2.5 Architecture Audit — Final Verification (workstreams A–E, nine invariants, cross-boundary checks)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2.5 Compliance Impact Assessment (flagged open items on retention, audit-log access control, and tamper-evidence)</w:t>
      </w:r>
    </w:p>
    <w:p>
      <w:pPr>
        <w:pStyle w:val="Heading2"/>
        <w:spacing w:after="120" w:before="240"/>
      </w:pPr>
      <w:r>
        <w:rPr>
          <w:b/>
          <w:bCs/>
        </w:rPr>
        <w:t xml:space="preserve">Gap register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800"/>
        <w:gridCol w:w="2400"/>
      </w:tblGrid>
      <w:tr>
        <w:trPr>
          <w:cantSplit/>
        </w:trPr>
        <w:tc>
          <w:tcPr>
            <w:tcW w:type="dxa" w:w="7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1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8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24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Nonce store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File-backed store is single-host; no shared backend for multi-node deployment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Residual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Recovery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Policy and approver role defined; no working executor — recovery cannot actually be performed today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Residual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 logging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In-process append only; no centralized aggregation, alerting, or SIEM integration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Residual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 log governance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Retention duration, access control over audit logs, and tamper-evidence are undefined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Compliance assessment — open item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DID method coverage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Accepted = managed = did:key only; no other method has been evaluated against the Phase 2.5 future-expansion criteria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Non-goal boundary, not yet revisited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External resolution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process exists for deciding when to move beyond local resolution; criteria were defined but never triggered or reviewed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Non-goal boundary, not yet revisited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ZKP / selective disclosure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Interfaces were confirmed extensible on paper; nothing has exercised that extensibility in practice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Non-goal, explicitly deferred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G8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Recovery execution risk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automated recovery or reissue exists; for a system supporting time-sensitive field operations, this is an operational exposure worth a deliberate decision, not just a residual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Non-goal, flagged for decision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Gap detail</w:t>
      </w:r>
    </w:p>
    <w:p>
      <w:pPr>
        <w:spacing w:after="100" w:before="160"/>
      </w:pPr>
      <w:r>
        <w:rPr>
          <w:b/>
          <w:bCs/>
        </w:rPr>
        <w:t xml:space="preserve">G1 — Nonce store scalability.</w:t>
      </w:r>
    </w:p>
    <w:p>
      <w:pPr>
        <w:spacing w:after="160"/>
      </w:pPr>
      <w:r>
        <w:t xml:space="preserve">The current store is correct and durable on a single host but has no shared backend. If Signal Forge identity infrastructure ever runs across more than one node, nonce state will fragment and replay protection will weaken across nodes. </w:t>
      </w:r>
      <w:r>
        <w:rPr>
          <w:i/>
          <w:iCs/>
        </w:rPr>
        <w:t xml:space="preserve">Impact if unaddressed:</w:t>
      </w:r>
      <w:r>
        <w:t xml:space="preserve"> low today (single-host), becomes a correctness gap the moment horizontal scaling is introduced elsewhere in the system. </w:t>
      </w:r>
      <w:r>
        <w:rPr>
          <w:i/>
          <w:iCs/>
        </w:rPr>
        <w:t xml:space="preserve">Phase 2.6 candidate:</w:t>
      </w:r>
      <w:r>
        <w:t xml:space="preserve"> Hardening — swap backend behind the existing interface; no interface redesign implied.</w:t>
      </w:r>
    </w:p>
    <w:p>
      <w:pPr>
        <w:spacing w:after="100" w:before="160"/>
      </w:pPr>
      <w:r>
        <w:rPr>
          <w:b/>
          <w:bCs/>
        </w:rPr>
        <w:t xml:space="preserve">G2 — Recovery cannot be executed.</w:t>
      </w:r>
    </w:p>
    <w:p>
      <w:pPr>
        <w:spacing w:after="160"/>
      </w:pPr>
      <w:r>
        <w:t xml:space="preserve">Phase 2.5 deliberately built policy, not execution. That was correct scope discipline for 2.5, but it means that today, a holder who loses or compromises identity keys has no actual recovery path — only a defined policy for what recovery would look like. </w:t>
      </w:r>
      <w:r>
        <w:rPr>
          <w:i/>
          <w:iCs/>
        </w:rPr>
        <w:t xml:space="preserve">Impact if unaddressed:</w:t>
      </w:r>
      <w:r>
        <w:t xml:space="preserve"> an operational identity system without a working recovery path is a real gap, not just a documentation gap. </w:t>
      </w:r>
      <w:r>
        <w:rPr>
          <w:i/>
          <w:iCs/>
        </w:rPr>
        <w:t xml:space="preserve">Phase 2.6 candidate:</w:t>
      </w:r>
      <w:r>
        <w:t xml:space="preserve"> Foundation-level build, tightly scoped to the existing policy boundary (no auto-reissue, no auto-privilege-restoration) established in 2.5.</w:t>
      </w:r>
    </w:p>
    <w:p>
      <w:pPr>
        <w:spacing w:after="100" w:before="160"/>
      </w:pPr>
      <w:r>
        <w:rPr>
          <w:b/>
          <w:bCs/>
        </w:rPr>
        <w:t xml:space="preserve">G3 — No centralized audit visibility.</w:t>
      </w:r>
    </w:p>
    <w:p>
      <w:pPr>
        <w:spacing w:after="160"/>
      </w:pPr>
      <w:r>
        <w:t xml:space="preserve">Presentation-proof events are logged, but only in-process. There is no aggregation point and no alerting. </w:t>
      </w:r>
      <w:r>
        <w:rPr>
          <w:i/>
          <w:iCs/>
        </w:rPr>
        <w:t xml:space="preserve">Impact if unaddressed:</w:t>
      </w:r>
      <w:r>
        <w:t xml:space="preserve"> a security-relevant event (e.g., repeated nonce-replay attempts) would currently go unnoticed unless someone manually inspects logs. </w:t>
      </w:r>
      <w:r>
        <w:rPr>
          <w:i/>
          <w:iCs/>
        </w:rPr>
        <w:t xml:space="preserve">Phase 2.6 candidate:</w:t>
      </w:r>
      <w:r>
        <w:t xml:space="preserve"> Hardening — ship existing audit events to a centralized sink; does not require changing what's logged.</w:t>
      </w:r>
    </w:p>
    <w:p>
      <w:pPr>
        <w:spacing w:after="100" w:before="160"/>
      </w:pPr>
      <w:r>
        <w:rPr>
          <w:b/>
          <w:bCs/>
        </w:rPr>
        <w:t xml:space="preserve">G4 — Audit log governance undefined.</w:t>
      </w:r>
    </w:p>
    <w:p>
      <w:pPr>
        <w:spacing w:after="160"/>
      </w:pPr>
      <w:r>
        <w:t xml:space="preserve">The compliance assessment could not classify retention duration, access control, or tamper-evidence as compliant, because the audit didn't address them — not because they failed. </w:t>
      </w:r>
      <w:r>
        <w:rPr>
          <w:i/>
          <w:iCs/>
        </w:rPr>
        <w:t xml:space="preserve">Impact if unaddressed:</w:t>
      </w:r>
      <w:r>
        <w:t xml:space="preserve"> this stays an open item indefinitely and will resurface in any future compliance review. </w:t>
      </w:r>
      <w:r>
        <w:rPr>
          <w:i/>
          <w:iCs/>
        </w:rPr>
        <w:t xml:space="preserve">Phase 2.6 candidate:</w:t>
      </w:r>
      <w:r>
        <w:t xml:space="preserve"> Foundation — this is policy definition, not new engineering, and is comparatively low-cost to close.</w:t>
      </w:r>
    </w:p>
    <w:p>
      <w:pPr>
        <w:spacing w:after="100" w:before="160"/>
      </w:pPr>
      <w:r>
        <w:rPr>
          <w:b/>
          <w:bCs/>
        </w:rPr>
        <w:t xml:space="preserve">G5 — DID method coverage is narrow by design, not yet reconsidered.</w:t>
      </w:r>
    </w:p>
    <w:p>
      <w:pPr>
        <w:spacing w:after="160"/>
      </w:pPr>
      <w:r>
        <w:t xml:space="preserve">did:key was the correct, conservative starting choice. Phase 2.5 defined criteria for adding methods later but did not evaluate them against any real interoperability need. </w:t>
      </w:r>
      <w:r>
        <w:rPr>
          <w:i/>
          <w:iCs/>
        </w:rPr>
        <w:t xml:space="preserve">Impact if unaddressed:</w:t>
      </w:r>
      <w:r>
        <w:t xml:space="preserve"> none currently — this is only a gap if an actual counterparty or ecosystem requires a different method. </w:t>
      </w:r>
      <w:r>
        <w:rPr>
          <w:i/>
          <w:iCs/>
        </w:rPr>
        <w:t xml:space="preserve">Phase 2.6 candidate:</w:t>
      </w:r>
      <w:r>
        <w:t xml:space="preserve"> Conditional — only pursue if a concrete interoperability requirement exists; otherwise remains Future-Deferred.</w:t>
      </w:r>
    </w:p>
    <w:p>
      <w:pPr>
        <w:spacing w:after="100" w:before="160"/>
      </w:pPr>
      <w:r>
        <w:rPr>
          <w:b/>
          <w:bCs/>
        </w:rPr>
        <w:t xml:space="preserve">G6 — No trigger process for external resolution.</w:t>
      </w:r>
    </w:p>
    <w:p>
      <w:pPr>
        <w:spacing w:after="160"/>
      </w:pPr>
      <w:r>
        <w:t xml:space="preserve">Local resolution remains correct as a baseline, but there is no defined checkpoint or owner for revisiting that decision. </w:t>
      </w:r>
      <w:r>
        <w:rPr>
          <w:i/>
          <w:iCs/>
        </w:rPr>
        <w:t xml:space="preserve">Impact if unaddressed:</w:t>
      </w:r>
      <w:r>
        <w:t xml:space="preserve"> the decision could be made informally or under time pressure later, without going through the criteria Phase 2.5 already defined. </w:t>
      </w:r>
      <w:r>
        <w:rPr>
          <w:i/>
          <w:iCs/>
        </w:rPr>
        <w:t xml:space="preserve">Phase 2.6 candidate:</w:t>
      </w:r>
      <w:r>
        <w:t xml:space="preserve"> Light Foundation item — formalize the review trigger itself, not the resolver.</w:t>
      </w:r>
    </w:p>
    <w:p>
      <w:pPr>
        <w:spacing w:after="100" w:before="160"/>
      </w:pPr>
      <w:r>
        <w:rPr>
          <w:b/>
          <w:bCs/>
        </w:rPr>
        <w:t xml:space="preserve">G7 — ZKP extensibility unexercised.</w:t>
      </w:r>
    </w:p>
    <w:p>
      <w:pPr>
        <w:spacing w:after="160"/>
      </w:pPr>
      <w:r>
        <w:t xml:space="preserve">Nothing has been built against the interfaces Phase 2.5 confirmed as ZKP-ready. Extensibility confirmed on paper is not the same as extensibility proven under an actual integration attempt. </w:t>
      </w:r>
      <w:r>
        <w:rPr>
          <w:i/>
          <w:iCs/>
        </w:rPr>
        <w:t xml:space="preserve">Impact if unaddressed:</w:t>
      </w:r>
      <w:r>
        <w:t xml:space="preserve"> the gap is invisible until someone actually tries to build selective disclosure against these interfaces — at which point any misjudgment surfaces late. </w:t>
      </w:r>
      <w:r>
        <w:rPr>
          <w:i/>
          <w:iCs/>
        </w:rPr>
        <w:t xml:space="preserve">Phase 2.6 candidate:</w:t>
      </w:r>
      <w:r>
        <w:t xml:space="preserve"> Future-Deferred — explicitly out of scope per Phase 2.5 non-goals; do not pull forward without a separate, explicit scoping decision.</w:t>
      </w:r>
    </w:p>
    <w:p>
      <w:pPr>
        <w:spacing w:after="100" w:before="160"/>
      </w:pPr>
      <w:r>
        <w:rPr>
          <w:b/>
          <w:bCs/>
        </w:rPr>
        <w:t xml:space="preserve">G8 — Recovery-execution risk for field operations.</w:t>
      </w:r>
    </w:p>
    <w:p>
      <w:pPr>
        <w:spacing w:after="160"/>
      </w:pPr>
      <w:r>
        <w:t xml:space="preserve">This is flagged as a decision point, not a build item. Operation Signal Forge supports time-sensitive search-and-rescue detection; an identity holder locked out during an active operation has no recovery path today. Whether that risk is acceptable, or whether it justifies prioritizing G2 above other Phase 2.6 candidates, is a judgment call outside the scope of this analysis. </w:t>
      </w:r>
      <w:r>
        <w:rPr>
          <w:i/>
          <w:iCs/>
        </w:rPr>
        <w:t xml:space="preserve">Phase 2.6 candidate:</w:t>
      </w:r>
      <w:r>
        <w:t xml:space="preserve"> Not a work item — an open question to resolve before scoping.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Hard boundaries carried forward (not gaps — do not reopen)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ZKP or selective-disclosure implementation (G7 stays Future-Deferred unless separately re-scoped)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mandatory external DID resolver, universal resolver, or blockchain identity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identity recovery, automatic credential reissuance, or automatic privilege restoration as a side effect of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redesign of the credential lifecycle, Trust Registry, Authorization Matrix, Capability Layer, or Fusion logic</w:t>
      </w:r>
    </w:p>
    <w:p>
      <w:pPr>
        <w:spacing w:after="160"/>
      </w:pPr>
      <w:r>
        <w:t xml:space="preserve">Any Phase 2.6 scope that touches these must be treated as a new, explicit decision — not an extension of a Phase 2.5 residual.</w:t>
      </w:r>
    </w:p>
    <w:p>
      <w:pPr>
        <w:pStyle w:val="Heading2"/>
        <w:spacing w:after="120" w:before="240"/>
      </w:pPr>
      <w:r>
        <w:rPr>
          <w:b/>
          <w:bCs/>
        </w:rPr>
        <w:t xml:space="preserve">Candidate Phase 2.6 scope (prioritized, non-binding)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600"/>
      </w:tblGrid>
      <w:tr>
        <w:trPr>
          <w:cantSplit/>
        </w:trPr>
        <w:tc>
          <w:tcPr>
            <w:tcW w:type="dxa" w:w="30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24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Recommended classification</w:t>
            </w:r>
          </w:p>
        </w:tc>
        <w:tc>
          <w:tcPr>
            <w:tcW w:type="dxa" w:w="46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000"/>
          </w:tcPr>
          <w:p>
            <w:r>
              <w:t>G4 — Audit log governance</w:t>
            </w:r>
          </w:p>
        </w:tc>
        <w:tc>
          <w:tcPr>
            <w:tcW w:type="dxa" w:w="2400"/>
          </w:tcPr>
          <w:p>
            <w:r>
              <w:t>Foundation</w:t>
            </w:r>
          </w:p>
        </w:tc>
        <w:tc>
          <w:tcPr>
            <w:tcW w:type="dxa" w:w="4600"/>
          </w:tcPr>
          <w:p>
            <w:r>
              <w:t>Confirmed control gap; closes standing compliance open items before introducing a more invasive recovery workflow.</w:t>
            </w:r>
          </w:p>
        </w:tc>
      </w:tr>
      <w:tr>
        <w:tc>
          <w:tcPr>
            <w:tcW w:type="dxa" w:w="3000"/>
          </w:tcPr>
          <w:p>
            <w:r>
              <w:t>G2 — Recovery executor</w:t>
            </w:r>
          </w:p>
        </w:tc>
        <w:tc>
          <w:tcPr>
            <w:tcW w:type="dxa" w:w="2400"/>
          </w:tcPr>
          <w:p>
            <w:r>
              <w:t>Foundation</w:t>
            </w:r>
          </w:p>
        </w:tc>
        <w:tc>
          <w:tcPr>
            <w:tcW w:type="dxa" w:w="4600"/>
          </w:tcPr>
          <w:p>
            <w:r>
              <w:t>Confirmed operational gap; prioritize after audit governance establishes retention, access, integrity, and evidence controls.</w:t>
            </w:r>
          </w:p>
        </w:tc>
      </w:tr>
      <w:tr>
        <w:tc>
          <w:tcPr>
            <w:tcW w:type="dxa" w:w="3000"/>
          </w:tcPr>
          <w:p>
            <w:r>
              <w:t>G6 — External-resolution review trigger</w:t>
            </w:r>
          </w:p>
        </w:tc>
        <w:tc>
          <w:tcPr>
            <w:tcW w:type="dxa" w:w="2400"/>
          </w:tcPr>
          <w:p>
            <w:r>
              <w:t>Foundation (light)</w:t>
            </w:r>
          </w:p>
        </w:tc>
        <w:tc>
          <w:tcPr>
            <w:tcW w:type="dxa" w:w="4600"/>
          </w:tcPr>
          <w:p>
            <w:r>
              <w:t>Low-cost governance process; prevents informal future DID-resolution decisions.</w:t>
            </w:r>
          </w:p>
        </w:tc>
      </w:tr>
      <w:tr>
        <w:tc>
          <w:tcPr>
            <w:tcW w:type="dxa" w:w="3000"/>
          </w:tcPr>
          <w:p>
            <w:r>
              <w:t>G3 — Centralized audit sink</w:t>
            </w:r>
          </w:p>
        </w:tc>
        <w:tc>
          <w:tcPr>
            <w:tcW w:type="dxa" w:w="2400"/>
          </w:tcPr>
          <w:p>
            <w:r>
              <w:t>Hardening</w:t>
            </w:r>
          </w:p>
        </w:tc>
        <w:tc>
          <w:tcPr>
            <w:tcW w:type="dxa" w:w="4600"/>
          </w:tcPr>
          <w:p>
            <w:r>
              <w:t>Useful monitoring improvement without changing the event data already being logged.</w:t>
            </w:r>
          </w:p>
        </w:tc>
      </w:tr>
      <w:tr>
        <w:tc>
          <w:tcPr>
            <w:tcW w:type="dxa" w:w="3000"/>
          </w:tcPr>
          <w:p>
            <w:r>
              <w:t>G1 — Shared nonce backend</w:t>
            </w:r>
          </w:p>
        </w:tc>
        <w:tc>
          <w:tcPr>
            <w:tcW w:type="dxa" w:w="2400"/>
          </w:tcPr>
          <w:p>
            <w:r>
              <w:t>Hardening (conditional)</w:t>
            </w:r>
          </w:p>
        </w:tc>
        <w:tc>
          <w:tcPr>
            <w:tcW w:type="dxa" w:w="4600"/>
          </w:tcPr>
          <w:p>
            <w:r>
              <w:t>Only needed when multi-node identity deployment is actually planned.</w:t>
            </w:r>
          </w:p>
        </w:tc>
      </w:tr>
      <w:tr>
        <w:tc>
          <w:tcPr>
            <w:tcW w:type="dxa" w:w="3000"/>
          </w:tcPr>
          <w:p>
            <w:r>
              <w:t>G5 — Additional DID methods</w:t>
            </w:r>
          </w:p>
        </w:tc>
        <w:tc>
          <w:tcPr>
            <w:tcW w:type="dxa" w:w="2400"/>
          </w:tcPr>
          <w:p>
            <w:r>
              <w:t>Future-Deferred (conditional)</w:t>
            </w:r>
          </w:p>
        </w:tc>
        <w:tc>
          <w:tcPr>
            <w:tcW w:type="dxa" w:w="4600"/>
          </w:tcPr>
          <w:p>
            <w:r>
              <w:t>Only when a concrete interoperability requirement is identified.</w:t>
            </w:r>
          </w:p>
        </w:tc>
      </w:tr>
      <w:tr>
        <w:tc>
          <w:tcPr>
            <w:tcW w:type="dxa" w:w="3000"/>
          </w:tcPr>
          <w:p>
            <w:r>
              <w:t>G7 — ZKP interface exercise</w:t>
            </w:r>
          </w:p>
        </w:tc>
        <w:tc>
          <w:tcPr>
            <w:tcW w:type="dxa" w:w="2400"/>
          </w:tcPr>
          <w:p>
            <w:r>
              <w:t>Future-Deferred</w:t>
            </w:r>
          </w:p>
        </w:tc>
        <w:tc>
          <w:tcPr>
            <w:tcW w:type="dxa" w:w="4600"/>
          </w:tcPr>
          <w:p>
            <w:r>
              <w:t>Explicitly deferred; requires a separate scoping decision.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Open questions requiring a decision before Phase 2.6 is scoped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Does G8 (recovery-execution risk during field operations) justify elevating G2 above all other candidates, or is the current manual/out-of-band fallback acceptable for now?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Is there an actual counterparty or ecosystem requirement driving G5, or is did:key-only sufficient for the foreseeable operational scope?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Who owns the review trigger proposed in G6 — is that a standing responsibility or a per-phase checkpoint?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What retention duration and access-control model should close G4 — is there an existing organizational policy to align to, or does one need to be authored from scratch?</w:t>
      </w:r>
    </w:p>
    <w:p>
      <w:pPr>
        <w:pStyle w:val="Heading2"/>
        <w:spacing w:after="120" w:before="240"/>
      </w:pPr>
      <w:r>
        <w:rPr>
          <w:b/>
          <w:bCs/>
        </w:rPr>
        <w:t xml:space="preserve">Closing statement</w:t>
      </w:r>
    </w:p>
    <w:p>
      <w:pPr>
        <w:spacing w:after="160"/>
      </w:pPr>
      <w:r>
        <w:t xml:space="preserve">This gap analysis is derived entirely from Phase 2.5's own residuals, non-goals, and compliance-assessment open items. It introduces no new invariants, does not reopen the architecture audit, and does not commit Phase 2.6 to any specific scope — it is intended to make the next scoping conversation informed rather than open-ended.</w:t>
      </w:r>
    </w:p>
    <w:p>
      <w:r>
        <w:rPr>
          <w:b/>
        </w:rPr>
        <w:t>Phase 2.6 Prioritization Decision — G4 Before G2</w:t>
      </w:r>
    </w:p>
    <w:p>
      <w:r>
        <w:t>Following independent review of the gap register and repository verification, G4 — Audit Log Governance should be prioritized before G2 — Recovery Executor. This does not reject G2; it establishes the governance and evidentiary controls that should surround subsequent recovery execution.</w:t>
      </w:r>
    </w:p>
    <w:p>
      <w:r>
        <w:t>Rationale:</w:t>
      </w:r>
    </w:p>
    <w:p>
      <w:r>
        <w:t>G4 is a confirmed present control gap: formal retention, audit-log access control, and tamper-evidence are largely absent.</w:t>
      </w:r>
    </w:p>
    <w:p>
      <w:r>
        <w:t>G4 closes an explicit compliance open item identified after the Phase 2.5 audit.</w:t>
      </w:r>
    </w:p>
    <w:p>
      <w:r>
        <w:t>G4 is comparatively contained and can be addressed without changing identity lifecycle semantics.</w:t>
      </w:r>
    </w:p>
    <w:p>
      <w:r>
        <w:t>G2 is a confirmed operational gap, but it is a more invasive workflow spanning identity state, recovery evidence, authorization boundaries, and audit behavior.</w:t>
      </w:r>
    </w:p>
    <w:p>
      <w:r>
        <w:t>Completing G4 first creates a stronger governance and audit foundation for implementing G2 safely.</w:t>
      </w:r>
    </w:p>
    <w:p>
      <w:r>
        <w:t>G1 remains conditional on multi-node deployment; G3 and G6 remain secondary hardening/process items; G5 and G7 remain deferred by design.</w:t>
      </w:r>
    </w:p>
    <w:p>
      <w:r>
        <w:t>Decision gate for Phase 2.6 scope:</w:t>
      </w:r>
    </w:p>
    <w:p>
      <w:r>
        <w:t>Do not begin G2 implementation until G4 policy and control requirements are defined sufficiently to establish retention, access, integrity, and auditability for recovery-related identity events.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2026-08-15T10:46:56.281Z</dcterms:created>
  <dcterms:modified xsi:type="dcterms:W3CDTF">2026-08-15T10:46:56.293Z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