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wgngm4sl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 Signal Forge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b8i83nxf6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Sensor Module Development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xaz4rojbp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 architecture for all sensor modules within Operation Signal Forge.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sensor should follow these conventions to ensure compatibility with the Fusion Engine while maintaining modularity, testability, and long-term maintainability.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2b4wfd19m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Philosophy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modules own </w:t>
      </w:r>
      <w:r w:rsidDel="00000000" w:rsidR="00000000" w:rsidRPr="00000000">
        <w:rPr>
          <w:b w:val="1"/>
          <w:bCs w:val="1"/>
          <w:rtl w:val="0"/>
        </w:rPr>
        <w:t xml:space="preserve">sensor-specific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owns </w:t>
      </w: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modules should never contain Fusion Engine responsibilities, and the Fusion Engine should never contain sensor-specific implementation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dupxjjk74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Public Interface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sensor module exposes a single public entry point: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process(raw)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interacts exclusively through this interface.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tklpzjcz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Sensor Responsibilities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sensor module is responsible for: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Parsing incoming sensor data.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required fields.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sensor-specific calculations.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Computing the sensor's confidence or score.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location data when applicable.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Constructing sensor-specific metadata.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a standardized observation.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ysj04eab0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Sensor Module Must NOT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modules must never: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sensor fusion.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fused probability.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directly to DynamoDB.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SNS alerts.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orchestration.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other sensor modules.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38eo7zak2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Standardized Observation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returns a standardized observation.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"sensor_type": "...",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"site_id": "...",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"lat": ...,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"lon": ...,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"created_at": "...",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"&lt;sensor&gt;_score": ...,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"metadata": {...}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may be added as required by the specific sensor.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ydi65ea7g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Fusion Engine Responsibilities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is responsible for: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Determining sensor type.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the appropriate sensor module.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standardized observations.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detection records.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fused probability.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Persisting results.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alerts.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Orchestrating the complete processing pipeline.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4eiz8sn4a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Internal Structure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follow this pattern: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process()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├── _validate()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├── _score()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├── _resolve_location()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_build_metadata()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└── return standardized observation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helper functions should remain internal to the module.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r2fmncl1g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should originate within the sensor module.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should receive and handle these errors generically rather than implementing sensor-specific recovery logic.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f0mb4k3zg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Requirements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sensor module should complete the following validation before integration: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Standalone module tests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Daytona isolated execution tests (when applicable)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integration tests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validation through the detection pipeline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nyvfhv93d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sensor module is considered complete when: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 documented.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responsibilities documented.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interface implemented.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validation completed.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integration completed.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passing.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updated.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milestone recorded.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9i9r2ypbg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interfaces over stable implementations.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responsibility for every module.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coupling between components.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testing before integration.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Replaceable implementations.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evolves through evidence and operational validation.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ce05rujoz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Goal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sensor—including Starlink, CellTower, radar, thermal, acoustic, ADS-B, AIS, or additional sensor types—should integrate into Operation Signal Forge by implementing the same architectural contract without requiring significant changes to the Fusion Engine.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enable long-term growth of the sensor ecosystem while preserving a stable orchestration layer.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