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Sensor Responsibilities — Operation Signal Forge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 0.2</w:t>
      </w:r>
      <w:r w:rsidDel="00000000" w:rsidR="00000000" w:rsidRPr="00000000">
        <w:rPr>
          <w:rtl w:val="0"/>
        </w:rPr>
        <w:t xml:space="preserve"> (Architecture Baseline)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`docs/engineering/sensor-module-development-guide.md`, `docs/compliance/data-sources.md`, `lambda/fusion_engine.py`, `lambda/lambda_sensors_starlink.py`, `lambda/celltower.py`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states **what each sensor path is responsible for** and **what Fusion must not absorb** as sensor-specific logic grows. Target architecture: one module per sensor, one public entry point, standardized observation in; Fusion orchestrates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Shared contract (all sensors)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Owns (sensor path) | Does not own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|--------------------|--------------|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Parsing and validating its payload | DynamoDB writes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Sensor-specific scoring heuristics | SNS alerts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Optional metadata encapsulation | Multi-sensor fusion weights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Returning score + location (+ site) in a form Fusion can store | Cell workflow `status` (operator-driven)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**Fusion owns:** routing by `sensor_type`, cell create/update, `fuse_scores`, persistence, alerting.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Radar (`sensor_type: radar`)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Item | Responsibility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**Source** | SRC-FIELD-RADAR — field GPR / through-rubble radar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**Implementation (v0.2)** | `score_radar()` in `fusion_engine.py`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**Target** | Dedicated module e.g. `lambda_sensors_radar.process()`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**Validates** | `lat`, `lon`, `reading`; structural presence of radar fields as required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**Scores using** | Void detection; micro-Doppler periodicity (breathing / cardiac bands); amplitude; depth attenuation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**Outputs** | `radar_score` (0–1), location, `site_id`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**Must not** | Write cells, send alerts, or interpret thermal/acoustic/Starlink data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Thermal (`sensor_type: thermal`)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Item | Responsibility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**Source** | SRC-FIELD-THERMAL — thermal / IR field units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**Implementation (v0.2)** | `score_thermal()` in `fusion_engine.py`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**Target** | Dedicated module e.g. `lambda_sensors_thermal.process()`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**Validates** | `lat`, `lon`, `reading` with temperature/hotspot fields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**Scores using** | ΔT vs ambient bands; hotspot size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**Outputs** | `thermal_score` (0–1), location, `site_id`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**Must not** | Fuse other modalities or persist detections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Acoustic (`sensor_type: acoustic`)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Item | Responsibility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**Source** | SRC-FIELD-ACOUSTIC — acoustic / listening units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**Implementation (v0.2)** | `score_acoustic()` in `fusion_engine.py`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**Target** | Dedicated module e.g. `lambda_sensors_acoustic.process()`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**Validates** | `lat`, `lon`, `reading` with tap/voice/SNR fields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**Scores using** | Tap pattern detection; voice likelihood; SNR discount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**Outputs** | `acoustic_score` (0–1), location, `site_id`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**Must not** | Store continuous raw audio in baseline design; must not run fusion/alerts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Cell tower (`sensor_type: celltower`)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Item | Responsibility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**Source** | SRC-OPENCELLID — external cell DB enrichment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**Implementation (v0.2)** | `celltower.py` + Fusion celltower branch (`lookup_celltower_location`, `score_celltower`)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**Target** | Keep lookup + scoring behind a single module entry point callable by Fusion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**Validates** | Cell identifiers (`mcc`, `mnc`, `lac`, `cid` as required)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**Scores using** | Provider accuracy (or equivalent) → confidence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**Outputs** | Resolved `lat`/`lon`, `celltower_score`, `site_id` when present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**Must not** | Treat OpenCellID as precise UE GNSS; must not embed provider HTTP details in Fusion beyond a clean call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Starlink (`sensor_type: starlink`)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Item | Responsibility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**Source** | SRC-STARLINK — Starlink-related observation events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**Implementation (v0.2)** | `lambda_sensors_starlink.process()` — **reference pattern**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**Validates** | Required `site_id`; coordinates or future pass context; bounds on lat/lon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**Scores using** | Module-internal heuristic (e.g. elevation, signal quality, source class)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**Outputs** | Standardized observation: `sensor_type`, `site_id`, `lat`, `lon`, `starlink_score`, `metadata`, `created_at`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**Must not** | Persist to DynamoDB, publish SNS, or implement fusion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Fusion **only** calls `process()` and consumes the standardized fields.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b w:val="1"/>
          <w:bCs w:val="1"/>
          <w:rtl w:val="0"/>
        </w:rPr>
        <w:t xml:space="preserve"> Fusion Engine (not a sensor)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Owns | Does not own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|------|--------------|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Dispatch by `sensor_type` | Starlink (or other) vendor field parsing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Generic cell merge and `fuse_scores` | OpenCellID HTTP/credential details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DynamoDB put and alert thresholding | Operator cell `status` semantics beyond storage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b w:val="1"/>
          <w:bCs w:val="1"/>
          <w:rtl w:val="0"/>
        </w:rPr>
        <w:t xml:space="preserve">Gap vs. target architecture (v0.2 honesty)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Sensor | Module extracted?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|--------|-------------------|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Starlink | **Yes**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Celltower | **Partial** (helper module + Fusion branch)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Radar | **No** (in-engine scorer)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Thermal | **No** (in-engine scorer)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Acoustic | **No** (in-engine scorer)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Extracting radar/thermal/acoustic to `process()`-style modules is a **planned consistency improvement**, not a claim that v0.2 already ships them.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Related documents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`docs/engineering/sensor-module-development-guide.md`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`docs/compliance/data-sources.md`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`docs/architecture/adr/` (OpenCellID, Starlink)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**Last updated:** 2026-07-29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