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hs51yogm2d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Update: Execution Backends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7/27/2026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of Record: 5:16AM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oeez6ggxc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Daytona will be adopted as the initial isolated execution backend for Operation Signal Forge.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primary responsibility is to provide secure, isolated environments for experimental workloads, prototype features, and execution requiring stronger isolation than the production Fusion Engine.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Daytona is infrastructure, not part of the Fusion Engine.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rqqqctkht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Architecture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Fusion Engine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Execution Interface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Daytona Backend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delegates isolated execution to the execution layer without becoming coupled to Daytona's implementation.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kptm4m1s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Direction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AgentForge is intentionally deferred.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execution backend will be selected for AgentForge until its requirements are better understood through experimentation.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AgentForge is introduced, its execution environment will be evaluated independently and may or may not use Daytona.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decision will be based on technical requirements rather than prior architectural assumptions.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7xwrhyey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Principle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backends are replaceable infrastructure.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Fusion Engine should depend only on the concept of isolated execution, never on a specific execution platform.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execution backends may include Daytona, Kubernetes-based solutions, local execution, or other technologies as project requirements evolve.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