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D47A1"/>
          <w:sz w:val="36"/>
        </w:rPr>
        <w:t>NVIDIA Corporation  (NVDA)</w:t>
      </w:r>
    </w:p>
    <w:p>
      <w:r>
        <w:rPr>
          <w:rFonts w:ascii="Times New Roman" w:hAnsi="Times New Roman"/>
          <w:b w:val="0"/>
          <w:i/>
          <w:sz w:val="22"/>
        </w:rPr>
        <w:t>Q1 FY2027 Earnings Update  |  Quarter Ended April 26, 2026  |  Reported May 20, 2026</w:t>
      </w:r>
    </w:p>
    <w:p>
      <w:r>
        <w:rPr>
          <w:rFonts w:ascii="Times New Roman" w:hAnsi="Times New Roman"/>
          <w:b w:val="0"/>
          <w:i w:val="0"/>
          <w:sz w:val="22"/>
        </w:rPr>
      </w:r>
    </w:p>
    <w:tbl>
      <w:tblPr>
        <w:tblStyle w:val="LightShading-Accent1"/>
        <w:tblW w:type="auto" w:w="0"/>
        <w:tblLook w:firstColumn="1" w:firstRow="1" w:lastColumn="0" w:lastRow="0" w:noHBand="0" w:noVBand="1" w:val="04A0"/>
      </w:tblPr>
      <w:tblGrid>
        <w:gridCol w:w="2412"/>
        <w:gridCol w:w="2412"/>
        <w:gridCol w:w="2412"/>
        <w:gridCol w:w="2412"/>
      </w:tblGrid>
      <w:tr>
        <w:tc>
          <w:tcPr>
            <w:tcW w:type="dxa" w:w="2412"/>
          </w:tcPr>
          <w:p>
            <w:r>
              <w:rPr>
                <w:rFonts w:ascii="Times New Roman" w:hAnsi="Times New Roman"/>
                <w:b/>
                <w:sz w:val="20"/>
              </w:rPr>
              <w:t>Rating</w:t>
              <w:br/>
            </w:r>
            <w:r>
              <w:rPr>
                <w:rFonts w:ascii="Times New Roman" w:hAnsi="Times New Roman"/>
                <w:b/>
                <w:sz w:val="22"/>
              </w:rPr>
              <w:t>OVERWEIGHT</w:t>
            </w:r>
          </w:p>
        </w:tc>
        <w:tc>
          <w:tcPr>
            <w:tcW w:type="dxa" w:w="2412"/>
          </w:tcPr>
          <w:p>
            <w:r>
              <w:rPr>
                <w:rFonts w:ascii="Times New Roman" w:hAnsi="Times New Roman"/>
                <w:b/>
                <w:sz w:val="20"/>
              </w:rPr>
              <w:t>Price Target</w:t>
              <w:br/>
            </w:r>
            <w:r>
              <w:rPr>
                <w:rFonts w:ascii="Times New Roman" w:hAnsi="Times New Roman"/>
                <w:b/>
                <w:sz w:val="22"/>
              </w:rPr>
              <w:t>$195 (from $175)</w:t>
            </w:r>
          </w:p>
        </w:tc>
        <w:tc>
          <w:tcPr>
            <w:tcW w:type="dxa" w:w="2412"/>
          </w:tcPr>
          <w:p>
            <w:r>
              <w:rPr>
                <w:rFonts w:ascii="Times New Roman" w:hAnsi="Times New Roman"/>
                <w:b/>
                <w:sz w:val="20"/>
              </w:rPr>
              <w:t>Last Close</w:t>
              <w:br/>
            </w:r>
            <w:r>
              <w:rPr>
                <w:rFonts w:ascii="Times New Roman" w:hAnsi="Times New Roman"/>
                <w:b/>
                <w:sz w:val="22"/>
              </w:rPr>
              <w:t>$152.80</w:t>
            </w:r>
          </w:p>
        </w:tc>
        <w:tc>
          <w:tcPr>
            <w:tcW w:type="dxa" w:w="2412"/>
          </w:tcPr>
          <w:p>
            <w:r>
              <w:rPr>
                <w:rFonts w:ascii="Times New Roman" w:hAnsi="Times New Roman"/>
                <w:b/>
                <w:sz w:val="20"/>
              </w:rPr>
              <w:t>Upside</w:t>
              <w:br/>
            </w:r>
            <w:r>
              <w:rPr>
                <w:rFonts w:ascii="Times New Roman" w:hAnsi="Times New Roman"/>
                <w:b/>
                <w:sz w:val="22"/>
              </w:rPr>
              <w:t>+27.6%</w:t>
            </w:r>
          </w:p>
        </w:tc>
      </w:tr>
    </w:tbl>
    <w:p>
      <w:r>
        <w:rPr>
          <w:rFonts w:ascii="Times New Roman" w:hAnsi="Times New Roman"/>
          <w:b w:val="0"/>
          <w:i w:val="0"/>
          <w:sz w:val="22"/>
        </w:rPr>
      </w:r>
    </w:p>
    <w:p>
      <w:r>
        <w:rPr>
          <w:rFonts w:ascii="Times New Roman" w:hAnsi="Times New Roman"/>
          <w:b/>
          <w:sz w:val="28"/>
        </w:rPr>
        <w:t>Headline: Triple Beat, Larger Q2 Raise, Stock Sells the News</w:t>
      </w:r>
    </w:p>
    <w:p>
      <w:pPr>
        <w:pStyle w:val="ListBullet"/>
      </w:pPr>
      <w:r>
        <w:rPr>
          <w:rFonts w:ascii="Times New Roman" w:hAnsi="Times New Roman"/>
          <w:b/>
          <w:sz w:val="22"/>
        </w:rPr>
        <w:t xml:space="preserve">Beat across the board. </w:t>
      </w:r>
      <w:r>
        <w:rPr>
          <w:rFonts w:ascii="Times New Roman" w:hAnsi="Times New Roman"/>
          <w:sz w:val="22"/>
        </w:rPr>
        <w:t xml:space="preserve"> Revenue $81.6B (+85% YoY, +20% QoQ) beat $79.6B consensus by 2.5%; Data Center $75.2B (+92% YoY) carried the print.</w:t>
      </w:r>
    </w:p>
    <w:p>
      <w:pPr>
        <w:pStyle w:val="ListBullet"/>
      </w:pPr>
      <w:r>
        <w:rPr>
          <w:rFonts w:ascii="Times New Roman" w:hAnsi="Times New Roman"/>
          <w:b/>
          <w:sz w:val="22"/>
        </w:rPr>
        <w:t xml:space="preserve">Bottom-line beat wider than top-line. </w:t>
      </w:r>
      <w:r>
        <w:rPr>
          <w:rFonts w:ascii="Times New Roman" w:hAnsi="Times New Roman"/>
          <w:sz w:val="22"/>
        </w:rPr>
        <w:t xml:space="preserve"> Non-GAAP EPS $1.87 vs $1.76 consensus (+6.3%); non-GAAP gross margin 75.0% vs 74.0% consensus.</w:t>
      </w:r>
    </w:p>
    <w:p>
      <w:pPr>
        <w:pStyle w:val="ListBullet"/>
      </w:pPr>
      <w:r>
        <w:rPr>
          <w:rFonts w:ascii="Times New Roman" w:hAnsi="Times New Roman"/>
          <w:b/>
          <w:sz w:val="22"/>
        </w:rPr>
        <w:t xml:space="preserve">Guidance raised meaningfully. </w:t>
      </w:r>
      <w:r>
        <w:rPr>
          <w:rFonts w:ascii="Times New Roman" w:hAnsi="Times New Roman"/>
          <w:sz w:val="22"/>
        </w:rPr>
        <w:t xml:space="preserve"> Q2 FY27 revenue guided $91.0B ±2%, ~5.8% above $86.0B consensus, with no China data-center compute revenue assumed.</w:t>
      </w:r>
    </w:p>
    <w:p>
      <w:pPr>
        <w:pStyle w:val="ListBullet"/>
      </w:pPr>
      <w:r>
        <w:rPr>
          <w:rFonts w:ascii="Times New Roman" w:hAnsi="Times New Roman"/>
          <w:b/>
          <w:sz w:val="22"/>
        </w:rPr>
        <w:t xml:space="preserve">Networking inflection. </w:t>
      </w:r>
      <w:r>
        <w:rPr>
          <w:rFonts w:ascii="Times New Roman" w:hAnsi="Times New Roman"/>
          <w:sz w:val="22"/>
        </w:rPr>
        <w:t xml:space="preserve"> Networking grew +199% YoY to $14.8B as InfiniBand/NVLink demand tripled — a non-Compute moat now larger than all of FY25's gaming franchise.</w:t>
      </w:r>
    </w:p>
    <w:p>
      <w:pPr>
        <w:pStyle w:val="ListBullet"/>
      </w:pPr>
      <w:r>
        <w:rPr>
          <w:rFonts w:ascii="Times New Roman" w:hAnsi="Times New Roman"/>
          <w:b/>
          <w:sz w:val="22"/>
        </w:rPr>
        <w:t xml:space="preserve">Customer mix concentration intact. </w:t>
      </w:r>
      <w:r>
        <w:rPr>
          <w:rFonts w:ascii="Times New Roman" w:hAnsi="Times New Roman"/>
          <w:sz w:val="22"/>
        </w:rPr>
        <w:t xml:space="preserve"> Hyperscale +115% YoY vs ACIE +74% — narrative of 'enterprise diversification' contradicted by the data; cycle remains hyperscale-led.</w:t>
      </w:r>
    </w:p>
    <w:p>
      <w:pPr>
        <w:pStyle w:val="ListBullet"/>
      </w:pPr>
      <w:r>
        <w:rPr>
          <w:rFonts w:ascii="Times New Roman" w:hAnsi="Times New Roman"/>
          <w:b/>
          <w:sz w:val="22"/>
        </w:rPr>
        <w:t xml:space="preserve">Capital return reset. </w:t>
      </w:r>
      <w:r>
        <w:rPr>
          <w:rFonts w:ascii="Times New Roman" w:hAnsi="Times New Roman"/>
          <w:sz w:val="22"/>
        </w:rPr>
        <w:t xml:space="preserve"> $80B new buyback authorization + 25× dividend increase ($0.01→$0.25); ~$20B returned in Q1.</w:t>
      </w:r>
    </w:p>
    <w:p>
      <w:pPr>
        <w:pStyle w:val="ListBullet"/>
      </w:pPr>
      <w:r>
        <w:rPr>
          <w:rFonts w:ascii="Times New Roman" w:hAnsi="Times New Roman"/>
          <w:b/>
          <w:sz w:val="22"/>
        </w:rPr>
        <w:t xml:space="preserve">Reaction asymmetric. </w:t>
      </w:r>
      <w:r>
        <w:rPr>
          <w:rFonts w:ascii="Times New Roman" w:hAnsi="Times New Roman"/>
          <w:sz w:val="22"/>
        </w:rPr>
        <w:t xml:space="preserve"> Stock fell ~6% in two sessions post-print despite the beat — the fourth straight quarter of this pattern, indicating buy-side whisper already at $84B+.</w:t>
      </w:r>
    </w:p>
    <w:p>
      <w:r>
        <w:rPr>
          <w:rFonts w:ascii="Times New Roman" w:hAnsi="Times New Roman"/>
          <w:b/>
          <w:i w:val="0"/>
          <w:sz w:val="22"/>
        </w:rPr>
        <w:t xml:space="preserve">Bottom line: </w:t>
      </w:r>
    </w:p>
    <w:p>
      <w:r>
        <w:rPr>
          <w:rFonts w:ascii="Times New Roman" w:hAnsi="Times New Roman"/>
          <w:b w:val="0"/>
          <w:i w:val="0"/>
          <w:sz w:val="22"/>
        </w:rPr>
        <w:t>Numbers and guide vindicate the AI-factory capex thesis. We raise estimates and target, but acknowledge the increasingly demanding bar embedded in the buy-side whisper. We see China optionality (H200 license) as a free call option not in our base case. Maintain OVERWEIGHT.</w:t>
      </w:r>
    </w:p>
    <w:p>
      <w:r>
        <w:br w:type="page"/>
      </w:r>
    </w:p>
    <w:p>
      <w:r>
        <w:rPr>
          <w:rFonts w:ascii="Times New Roman" w:hAnsi="Times New Roman"/>
          <w:b/>
          <w:sz w:val="28"/>
        </w:rPr>
        <w:t>Q1 FY27 Results — Detailed Walk</w:t>
      </w:r>
    </w:p>
    <w:p>
      <w:r>
        <w:rPr>
          <w:rFonts w:ascii="Times New Roman" w:hAnsi="Times New Roman"/>
          <w:b w:val="0"/>
          <w:i w:val="0"/>
          <w:sz w:val="22"/>
        </w:rPr>
        <w:t>Revenue of $81.6B grew 20% sequentially, the steepest QoQ acceleration since Q3 FY25. All key metrics — revenue, gross margin, operating income, EPS — beat consensus, and by larger margins than the prior two quarters where investors had begun to fade incremental beats. The composition of the beat is the new story: Networking revenue alone ($14.8B, +199% YoY) is now larger than NVIDIA's entire FY25 Gaming franchise, evidence that the AI rack-scale shift is creating a second moat beyond GPU compute.</w:t>
      </w:r>
    </w:p>
    <w:p>
      <w:r>
        <w:rPr>
          <w:rFonts w:ascii="Times New Roman" w:hAnsi="Times New Roman"/>
          <w:b/>
          <w:i/>
          <w:sz w:val="22"/>
        </w:rPr>
        <w:t>Summary Table 1. Q1 FY27 P&amp;L Snapshot vs Year-Ago</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2160"/>
          </w:tcPr>
          <w:p>
            <w:r/>
            <w:r>
              <w:rPr>
                <w:rFonts w:ascii="Times New Roman" w:hAnsi="Times New Roman"/>
                <w:b/>
                <w:color w:val="FFFFFF"/>
                <w:sz w:val="20"/>
              </w:rPr>
              <w:t>Metric</w:t>
            </w:r>
          </w:p>
        </w:tc>
        <w:tc>
          <w:tcPr>
            <w:tcW w:type="dxa" w:w="1440"/>
          </w:tcPr>
          <w:p>
            <w:r/>
            <w:r>
              <w:rPr>
                <w:rFonts w:ascii="Times New Roman" w:hAnsi="Times New Roman"/>
                <w:b/>
                <w:color w:val="FFFFFF"/>
                <w:sz w:val="20"/>
              </w:rPr>
              <w:t>Q1 FY27</w:t>
            </w:r>
          </w:p>
        </w:tc>
        <w:tc>
          <w:tcPr>
            <w:tcW w:type="dxa" w:w="1440"/>
          </w:tcPr>
          <w:p>
            <w:r/>
            <w:r>
              <w:rPr>
                <w:rFonts w:ascii="Times New Roman" w:hAnsi="Times New Roman"/>
                <w:b/>
                <w:color w:val="FFFFFF"/>
                <w:sz w:val="20"/>
              </w:rPr>
              <w:t>Q1 FY26</w:t>
            </w:r>
          </w:p>
        </w:tc>
        <w:tc>
          <w:tcPr>
            <w:tcW w:type="dxa" w:w="1296"/>
          </w:tcPr>
          <w:p>
            <w:r/>
            <w:r>
              <w:rPr>
                <w:rFonts w:ascii="Times New Roman" w:hAnsi="Times New Roman"/>
                <w:b/>
                <w:color w:val="FFFFFF"/>
                <w:sz w:val="20"/>
              </w:rPr>
              <w:t>YoY %</w:t>
            </w:r>
          </w:p>
        </w:tc>
        <w:tc>
          <w:tcPr>
            <w:tcW w:type="dxa" w:w="1440"/>
          </w:tcPr>
          <w:p>
            <w:r/>
            <w:r>
              <w:rPr>
                <w:rFonts w:ascii="Times New Roman" w:hAnsi="Times New Roman"/>
                <w:b/>
                <w:color w:val="FFFFFF"/>
                <w:sz w:val="20"/>
              </w:rPr>
              <w:t>Consensus</w:t>
            </w:r>
          </w:p>
        </w:tc>
        <w:tc>
          <w:tcPr>
            <w:tcW w:type="dxa" w:w="1152"/>
          </w:tcPr>
          <w:p>
            <w:r/>
            <w:r>
              <w:rPr>
                <w:rFonts w:ascii="Times New Roman" w:hAnsi="Times New Roman"/>
                <w:b/>
                <w:color w:val="FFFFFF"/>
                <w:sz w:val="20"/>
              </w:rPr>
              <w:t>Beat</w:t>
            </w:r>
          </w:p>
        </w:tc>
      </w:tr>
      <w:tr>
        <w:tc>
          <w:tcPr>
            <w:tcW w:type="dxa" w:w="2160"/>
          </w:tcPr>
          <w:p>
            <w:r/>
            <w:r>
              <w:rPr>
                <w:rFonts w:ascii="Times New Roman" w:hAnsi="Times New Roman"/>
                <w:sz w:val="20"/>
              </w:rPr>
              <w:t>Revenue ($B)</w:t>
            </w:r>
          </w:p>
        </w:tc>
        <w:tc>
          <w:tcPr>
            <w:tcW w:type="dxa" w:w="1440"/>
          </w:tcPr>
          <w:p>
            <w:r/>
            <w:r>
              <w:rPr>
                <w:rFonts w:ascii="Times New Roman" w:hAnsi="Times New Roman"/>
                <w:sz w:val="20"/>
              </w:rPr>
              <w:t>81.6</w:t>
            </w:r>
          </w:p>
        </w:tc>
        <w:tc>
          <w:tcPr>
            <w:tcW w:type="dxa" w:w="1440"/>
          </w:tcPr>
          <w:p>
            <w:r/>
            <w:r>
              <w:rPr>
                <w:rFonts w:ascii="Times New Roman" w:hAnsi="Times New Roman"/>
                <w:sz w:val="20"/>
              </w:rPr>
              <w:t>44.1</w:t>
            </w:r>
          </w:p>
        </w:tc>
        <w:tc>
          <w:tcPr>
            <w:tcW w:type="dxa" w:w="1296"/>
          </w:tcPr>
          <w:p>
            <w:r/>
            <w:r>
              <w:rPr>
                <w:rFonts w:ascii="Times New Roman" w:hAnsi="Times New Roman"/>
                <w:sz w:val="20"/>
              </w:rPr>
              <w:t>+85%</w:t>
            </w:r>
          </w:p>
        </w:tc>
        <w:tc>
          <w:tcPr>
            <w:tcW w:type="dxa" w:w="1440"/>
          </w:tcPr>
          <w:p>
            <w:r/>
            <w:r>
              <w:rPr>
                <w:rFonts w:ascii="Times New Roman" w:hAnsi="Times New Roman"/>
                <w:sz w:val="20"/>
              </w:rPr>
              <w:t>79.6</w:t>
            </w:r>
          </w:p>
        </w:tc>
        <w:tc>
          <w:tcPr>
            <w:tcW w:type="dxa" w:w="1152"/>
          </w:tcPr>
          <w:p>
            <w:r/>
            <w:r>
              <w:rPr>
                <w:rFonts w:ascii="Times New Roman" w:hAnsi="Times New Roman"/>
                <w:sz w:val="20"/>
              </w:rPr>
              <w:t>+2.5%</w:t>
            </w:r>
          </w:p>
        </w:tc>
      </w:tr>
      <w:tr>
        <w:tc>
          <w:tcPr>
            <w:tcW w:type="dxa" w:w="2160"/>
          </w:tcPr>
          <w:p>
            <w:r/>
            <w:r>
              <w:rPr>
                <w:rFonts w:ascii="Times New Roman" w:hAnsi="Times New Roman"/>
                <w:sz w:val="20"/>
              </w:rPr>
              <w:t>Data Center ($B)</w:t>
            </w:r>
          </w:p>
        </w:tc>
        <w:tc>
          <w:tcPr>
            <w:tcW w:type="dxa" w:w="1440"/>
          </w:tcPr>
          <w:p>
            <w:r/>
            <w:r>
              <w:rPr>
                <w:rFonts w:ascii="Times New Roman" w:hAnsi="Times New Roman"/>
                <w:sz w:val="20"/>
              </w:rPr>
              <w:t>75.2</w:t>
            </w:r>
          </w:p>
        </w:tc>
        <w:tc>
          <w:tcPr>
            <w:tcW w:type="dxa" w:w="1440"/>
          </w:tcPr>
          <w:p>
            <w:r/>
            <w:r>
              <w:rPr>
                <w:rFonts w:ascii="Times New Roman" w:hAnsi="Times New Roman"/>
                <w:sz w:val="20"/>
              </w:rPr>
              <w:t>39.1</w:t>
            </w:r>
          </w:p>
        </w:tc>
        <w:tc>
          <w:tcPr>
            <w:tcW w:type="dxa" w:w="1296"/>
          </w:tcPr>
          <w:p>
            <w:r/>
            <w:r>
              <w:rPr>
                <w:rFonts w:ascii="Times New Roman" w:hAnsi="Times New Roman"/>
                <w:sz w:val="20"/>
              </w:rPr>
              <w:t>+92%</w:t>
            </w:r>
          </w:p>
        </w:tc>
        <w:tc>
          <w:tcPr>
            <w:tcW w:type="dxa" w:w="1440"/>
          </w:tcPr>
          <w:p>
            <w:r/>
            <w:r>
              <w:rPr>
                <w:rFonts w:ascii="Times New Roman" w:hAnsi="Times New Roman"/>
                <w:sz w:val="20"/>
              </w:rPr>
              <w:t>73.5</w:t>
            </w:r>
          </w:p>
        </w:tc>
        <w:tc>
          <w:tcPr>
            <w:tcW w:type="dxa" w:w="1152"/>
          </w:tcPr>
          <w:p>
            <w:r/>
            <w:r>
              <w:rPr>
                <w:rFonts w:ascii="Times New Roman" w:hAnsi="Times New Roman"/>
                <w:sz w:val="20"/>
              </w:rPr>
              <w:t>+2.3%</w:t>
            </w:r>
          </w:p>
        </w:tc>
      </w:tr>
      <w:tr>
        <w:tc>
          <w:tcPr>
            <w:tcW w:type="dxa" w:w="2160"/>
          </w:tcPr>
          <w:p>
            <w:r/>
            <w:r>
              <w:rPr>
                <w:rFonts w:ascii="Times New Roman" w:hAnsi="Times New Roman"/>
                <w:sz w:val="20"/>
              </w:rPr>
              <w:t>Non-GAAP Gross Margin</w:t>
            </w:r>
          </w:p>
        </w:tc>
        <w:tc>
          <w:tcPr>
            <w:tcW w:type="dxa" w:w="1440"/>
          </w:tcPr>
          <w:p>
            <w:r/>
            <w:r>
              <w:rPr>
                <w:rFonts w:ascii="Times New Roman" w:hAnsi="Times New Roman"/>
                <w:sz w:val="20"/>
              </w:rPr>
              <w:t>75.0%</w:t>
            </w:r>
          </w:p>
        </w:tc>
        <w:tc>
          <w:tcPr>
            <w:tcW w:type="dxa" w:w="1440"/>
          </w:tcPr>
          <w:p>
            <w:r/>
            <w:r>
              <w:rPr>
                <w:rFonts w:ascii="Times New Roman" w:hAnsi="Times New Roman"/>
                <w:sz w:val="20"/>
              </w:rPr>
              <w:t>60.8%</w:t>
            </w:r>
          </w:p>
        </w:tc>
        <w:tc>
          <w:tcPr>
            <w:tcW w:type="dxa" w:w="1296"/>
          </w:tcPr>
          <w:p>
            <w:r/>
            <w:r>
              <w:rPr>
                <w:rFonts w:ascii="Times New Roman" w:hAnsi="Times New Roman"/>
                <w:sz w:val="20"/>
              </w:rPr>
              <w:t>+1,420 bps</w:t>
            </w:r>
          </w:p>
        </w:tc>
        <w:tc>
          <w:tcPr>
            <w:tcW w:type="dxa" w:w="1440"/>
          </w:tcPr>
          <w:p>
            <w:r/>
            <w:r>
              <w:rPr>
                <w:rFonts w:ascii="Times New Roman" w:hAnsi="Times New Roman"/>
                <w:sz w:val="20"/>
              </w:rPr>
              <w:t>74.0%</w:t>
            </w:r>
          </w:p>
        </w:tc>
        <w:tc>
          <w:tcPr>
            <w:tcW w:type="dxa" w:w="1152"/>
          </w:tcPr>
          <w:p>
            <w:r/>
            <w:r>
              <w:rPr>
                <w:rFonts w:ascii="Times New Roman" w:hAnsi="Times New Roman"/>
                <w:sz w:val="20"/>
              </w:rPr>
              <w:t>+100 bps</w:t>
            </w:r>
          </w:p>
        </w:tc>
      </w:tr>
      <w:tr>
        <w:tc>
          <w:tcPr>
            <w:tcW w:type="dxa" w:w="2160"/>
          </w:tcPr>
          <w:p>
            <w:r/>
            <w:r>
              <w:rPr>
                <w:rFonts w:ascii="Times New Roman" w:hAnsi="Times New Roman"/>
                <w:sz w:val="20"/>
              </w:rPr>
              <w:t>GAAP Operating Income ($B)</w:t>
            </w:r>
          </w:p>
        </w:tc>
        <w:tc>
          <w:tcPr>
            <w:tcW w:type="dxa" w:w="1440"/>
          </w:tcPr>
          <w:p>
            <w:r/>
            <w:r>
              <w:rPr>
                <w:rFonts w:ascii="Times New Roman" w:hAnsi="Times New Roman"/>
                <w:sz w:val="20"/>
              </w:rPr>
              <w:t>53.5</w:t>
            </w:r>
          </w:p>
        </w:tc>
        <w:tc>
          <w:tcPr>
            <w:tcW w:type="dxa" w:w="1440"/>
          </w:tcPr>
          <w:p>
            <w:r/>
            <w:r>
              <w:rPr>
                <w:rFonts w:ascii="Times New Roman" w:hAnsi="Times New Roman"/>
                <w:sz w:val="20"/>
              </w:rPr>
              <w:t>21.6</w:t>
            </w:r>
          </w:p>
        </w:tc>
        <w:tc>
          <w:tcPr>
            <w:tcW w:type="dxa" w:w="1296"/>
          </w:tcPr>
          <w:p>
            <w:r/>
            <w:r>
              <w:rPr>
                <w:rFonts w:ascii="Times New Roman" w:hAnsi="Times New Roman"/>
                <w:sz w:val="20"/>
              </w:rPr>
              <w:t>+147%</w:t>
            </w:r>
          </w:p>
        </w:tc>
        <w:tc>
          <w:tcPr>
            <w:tcW w:type="dxa" w:w="1440"/>
          </w:tcPr>
          <w:p>
            <w:r/>
            <w:r>
              <w:rPr>
                <w:rFonts w:ascii="Times New Roman" w:hAnsi="Times New Roman"/>
                <w:sz w:val="20"/>
              </w:rPr>
              <w:t>—</w:t>
            </w:r>
          </w:p>
        </w:tc>
        <w:tc>
          <w:tcPr>
            <w:tcW w:type="dxa" w:w="1152"/>
          </w:tcPr>
          <w:p>
            <w:r/>
            <w:r>
              <w:rPr>
                <w:rFonts w:ascii="Times New Roman" w:hAnsi="Times New Roman"/>
                <w:sz w:val="20"/>
              </w:rPr>
              <w:t>—</w:t>
            </w:r>
          </w:p>
        </w:tc>
      </w:tr>
      <w:tr>
        <w:tc>
          <w:tcPr>
            <w:tcW w:type="dxa" w:w="2160"/>
          </w:tcPr>
          <w:p>
            <w:r/>
            <w:r>
              <w:rPr>
                <w:rFonts w:ascii="Times New Roman" w:hAnsi="Times New Roman"/>
                <w:sz w:val="20"/>
              </w:rPr>
              <w:t>Non-GAAP EPS ($)</w:t>
            </w:r>
          </w:p>
        </w:tc>
        <w:tc>
          <w:tcPr>
            <w:tcW w:type="dxa" w:w="1440"/>
          </w:tcPr>
          <w:p>
            <w:r/>
            <w:r>
              <w:rPr>
                <w:rFonts w:ascii="Times New Roman" w:hAnsi="Times New Roman"/>
                <w:sz w:val="20"/>
              </w:rPr>
              <w:t>1.87</w:t>
            </w:r>
          </w:p>
        </w:tc>
        <w:tc>
          <w:tcPr>
            <w:tcW w:type="dxa" w:w="1440"/>
          </w:tcPr>
          <w:p>
            <w:r/>
            <w:r>
              <w:rPr>
                <w:rFonts w:ascii="Times New Roman" w:hAnsi="Times New Roman"/>
                <w:sz w:val="20"/>
              </w:rPr>
              <w:t>0.78</w:t>
            </w:r>
          </w:p>
        </w:tc>
        <w:tc>
          <w:tcPr>
            <w:tcW w:type="dxa" w:w="1296"/>
          </w:tcPr>
          <w:p>
            <w:r/>
            <w:r>
              <w:rPr>
                <w:rFonts w:ascii="Times New Roman" w:hAnsi="Times New Roman"/>
                <w:sz w:val="20"/>
              </w:rPr>
              <w:t>+140%</w:t>
            </w:r>
          </w:p>
        </w:tc>
        <w:tc>
          <w:tcPr>
            <w:tcW w:type="dxa" w:w="1440"/>
          </w:tcPr>
          <w:p>
            <w:r/>
            <w:r>
              <w:rPr>
                <w:rFonts w:ascii="Times New Roman" w:hAnsi="Times New Roman"/>
                <w:sz w:val="20"/>
              </w:rPr>
              <w:t>1.76</w:t>
            </w:r>
          </w:p>
        </w:tc>
        <w:tc>
          <w:tcPr>
            <w:tcW w:type="dxa" w:w="1152"/>
          </w:tcPr>
          <w:p>
            <w:r/>
            <w:r>
              <w:rPr>
                <w:rFonts w:ascii="Times New Roman" w:hAnsi="Times New Roman"/>
                <w:sz w:val="20"/>
              </w:rPr>
              <w:t>+6.3%</w:t>
            </w:r>
          </w:p>
        </w:tc>
      </w:tr>
      <w:tr>
        <w:tc>
          <w:tcPr>
            <w:tcW w:type="dxa" w:w="2160"/>
          </w:tcPr>
          <w:p>
            <w:r/>
            <w:r>
              <w:rPr>
                <w:rFonts w:ascii="Times New Roman" w:hAnsi="Times New Roman"/>
                <w:sz w:val="20"/>
              </w:rPr>
              <w:t>Free Cash Flow ($B)</w:t>
            </w:r>
          </w:p>
        </w:tc>
        <w:tc>
          <w:tcPr>
            <w:tcW w:type="dxa" w:w="1440"/>
          </w:tcPr>
          <w:p>
            <w:r/>
            <w:r>
              <w:rPr>
                <w:rFonts w:ascii="Times New Roman" w:hAnsi="Times New Roman"/>
                <w:sz w:val="20"/>
              </w:rPr>
              <w:t>48.6</w:t>
            </w:r>
          </w:p>
        </w:tc>
        <w:tc>
          <w:tcPr>
            <w:tcW w:type="dxa" w:w="1440"/>
          </w:tcPr>
          <w:p>
            <w:r/>
            <w:r>
              <w:rPr>
                <w:rFonts w:ascii="Times New Roman" w:hAnsi="Times New Roman"/>
                <w:sz w:val="20"/>
              </w:rPr>
              <w:t>27.8</w:t>
            </w:r>
          </w:p>
        </w:tc>
        <w:tc>
          <w:tcPr>
            <w:tcW w:type="dxa" w:w="1296"/>
          </w:tcPr>
          <w:p>
            <w:r/>
            <w:r>
              <w:rPr>
                <w:rFonts w:ascii="Times New Roman" w:hAnsi="Times New Roman"/>
                <w:sz w:val="20"/>
              </w:rPr>
              <w:t>+75%</w:t>
            </w:r>
          </w:p>
        </w:tc>
        <w:tc>
          <w:tcPr>
            <w:tcW w:type="dxa" w:w="1440"/>
          </w:tcPr>
          <w:p>
            <w:r/>
            <w:r>
              <w:rPr>
                <w:rFonts w:ascii="Times New Roman" w:hAnsi="Times New Roman"/>
                <w:sz w:val="20"/>
              </w:rPr>
              <w:t>—</w:t>
            </w:r>
          </w:p>
        </w:tc>
        <w:tc>
          <w:tcPr>
            <w:tcW w:type="dxa" w:w="1152"/>
          </w:tcPr>
          <w:p>
            <w:r/>
            <w:r>
              <w:rPr>
                <w:rFonts w:ascii="Times New Roman" w:hAnsi="Times New Roman"/>
                <w:sz w:val="20"/>
              </w:rPr>
              <w:t>—</w:t>
            </w:r>
          </w:p>
        </w:tc>
      </w:tr>
    </w:tbl>
    <w:p>
      <w:r>
        <w:rPr>
          <w:rFonts w:ascii="Times New Roman" w:hAnsi="Times New Roman"/>
          <w:b w:val="0"/>
          <w:i w:val="0"/>
          <w:sz w:val="22"/>
        </w:rPr>
      </w:r>
    </w:p>
    <w:p>
      <w:r>
        <w:rPr>
          <w:rFonts w:ascii="Times New Roman" w:hAnsi="Times New Roman"/>
          <w:b w:val="0"/>
          <w:i/>
          <w:sz w:val="18"/>
        </w:rPr>
        <w:t>Source: NVIDIA Q1 FY27 earnings release (May 20, 2026); Q1 FY26 earnings release (May 28, 2025); consensus per FactSet survey of 38 sell-side analysts (May 19, 2026 close). The year-ago gross margin was depressed by a $4.5B inventory write-down related to the H20 export license suspension, inflating the YoY GM gain; like-for-like expansion is closer to ~80 bps.</w:t>
      </w:r>
    </w:p>
    <w:p>
      <w:pPr>
        <w:jc w:val="center"/>
      </w:pPr>
      <w:r>
        <w:drawing>
          <wp:inline xmlns:a="http://schemas.openxmlformats.org/drawingml/2006/main" xmlns:pic="http://schemas.openxmlformats.org/drawingml/2006/picture">
            <wp:extent cx="5943600" cy="2932238"/>
            <wp:docPr id="1" name="Picture 1"/>
            <wp:cNvGraphicFramePr>
              <a:graphicFrameLocks noChangeAspect="1"/>
            </wp:cNvGraphicFramePr>
            <a:graphic>
              <a:graphicData uri="http://schemas.openxmlformats.org/drawingml/2006/picture">
                <pic:pic>
                  <pic:nvPicPr>
                    <pic:cNvPr id="0" name="fig01_quarterly_revenue.png"/>
                    <pic:cNvPicPr/>
                  </pic:nvPicPr>
                  <pic:blipFill>
                    <a:blip r:embed="rId9"/>
                    <a:stretch>
                      <a:fillRect/>
                    </a:stretch>
                  </pic:blipFill>
                  <pic:spPr>
                    <a:xfrm>
                      <a:off x="0" y="0"/>
                      <a:ext cx="5943600" cy="2932238"/>
                    </a:xfrm>
                    <a:prstGeom prst="rect"/>
                  </pic:spPr>
                </pic:pic>
              </a:graphicData>
            </a:graphic>
          </wp:inline>
        </w:drawing>
      </w:r>
    </w:p>
    <w:p>
      <w:pPr>
        <w:jc w:val="left"/>
      </w:pPr>
      <w:r>
        <w:rPr>
          <w:rFonts w:ascii="Times New Roman" w:hAnsi="Times New Roman"/>
          <w:i/>
          <w:color w:val="555555"/>
          <w:sz w:val="18"/>
        </w:rPr>
        <w:t xml:space="preserve">Source: NVIDIA quarterly press releases (Q1 FY26 through Q1 FY27). See </w:t>
      </w:r>
      <w:hyperlink r:id="rId10">
        <w:r>
          <w:rPr>
            <w:color w:val="0563C1"/>
            <w:u w:val="single"/>
            <w:rFonts w:ascii="Times New Roman" w:hAnsi="Times New Roman"/>
            <w:sz w:val="22"/>
          </w:rPr>
          <w:t>NVIDIA Investor Relations</w:t>
        </w:r>
      </w:hyperlink>
    </w:p>
    <w:p>
      <w:r>
        <w:br w:type="page"/>
      </w:r>
    </w:p>
    <w:p>
      <w:r>
        <w:rPr>
          <w:rFonts w:ascii="Times New Roman" w:hAnsi="Times New Roman"/>
          <w:b/>
          <w:sz w:val="28"/>
        </w:rPr>
        <w:t>Segment Detail — The Two Stories Inside Data Center</w:t>
      </w:r>
    </w:p>
    <w:p>
      <w:r>
        <w:rPr>
          <w:rFonts w:ascii="Times New Roman" w:hAnsi="Times New Roman"/>
          <w:b w:val="0"/>
          <w:i w:val="0"/>
          <w:sz w:val="22"/>
        </w:rPr>
        <w:t>NVIDIA materially restructured segment disclosure this quarter, collapsing Gaming, Professional Visualization, and Automotive into a single 'Edge Computing' line ($6.4B, +29% YoY). The disclosure reflects management's view that the company is operationally a Data Center business with edge optionality. Within Data Center, two cuts matter:</w:t>
      </w:r>
    </w:p>
    <w:p>
      <w:r>
        <w:rPr>
          <w:rFonts w:ascii="Times New Roman" w:hAnsi="Times New Roman"/>
          <w:b/>
          <w:sz w:val="24"/>
        </w:rPr>
        <w:t>Cut #1: Compute vs Networking</w:t>
      </w:r>
    </w:p>
    <w:p>
      <w:pPr>
        <w:jc w:val="center"/>
      </w:pPr>
      <w:r>
        <w:drawing>
          <wp:inline xmlns:a="http://schemas.openxmlformats.org/drawingml/2006/main" xmlns:pic="http://schemas.openxmlformats.org/drawingml/2006/picture">
            <wp:extent cx="5943600" cy="2934536"/>
            <wp:docPr id="2" name="Picture 2"/>
            <wp:cNvGraphicFramePr>
              <a:graphicFrameLocks noChangeAspect="1"/>
            </wp:cNvGraphicFramePr>
            <a:graphic>
              <a:graphicData uri="http://schemas.openxmlformats.org/drawingml/2006/picture">
                <pic:pic>
                  <pic:nvPicPr>
                    <pic:cNvPr id="0" name="fig06_dc_composition.png"/>
                    <pic:cNvPicPr/>
                  </pic:nvPicPr>
                  <pic:blipFill>
                    <a:blip r:embed="rId11"/>
                    <a:stretch>
                      <a:fillRect/>
                    </a:stretch>
                  </pic:blipFill>
                  <pic:spPr>
                    <a:xfrm>
                      <a:off x="0" y="0"/>
                      <a:ext cx="5943600" cy="2934536"/>
                    </a:xfrm>
                    <a:prstGeom prst="rect"/>
                  </pic:spPr>
                </pic:pic>
              </a:graphicData>
            </a:graphic>
          </wp:inline>
        </w:drawing>
      </w:r>
    </w:p>
    <w:p>
      <w:pPr>
        <w:jc w:val="left"/>
      </w:pPr>
      <w:r>
        <w:rPr>
          <w:rFonts w:ascii="Times New Roman" w:hAnsi="Times New Roman"/>
          <w:i/>
          <w:color w:val="555555"/>
          <w:sz w:val="18"/>
        </w:rPr>
        <w:t xml:space="preserve">Source: NVIDIA Q1 FY27 CFO Commentary; </w:t>
      </w:r>
      <w:hyperlink r:id="rId10">
        <w:r>
          <w:rPr>
            <w:color w:val="0563C1"/>
            <w:u w:val="single"/>
            <w:rFonts w:ascii="Times New Roman" w:hAnsi="Times New Roman"/>
            <w:sz w:val="22"/>
          </w:rPr>
          <w:t>Investor Relations</w:t>
        </w:r>
      </w:hyperlink>
    </w:p>
    <w:p>
      <w:pPr>
        <w:pStyle w:val="ListBullet"/>
      </w:pPr>
      <w:r>
        <w:rPr>
          <w:rFonts w:ascii="Times New Roman" w:hAnsi="Times New Roman"/>
          <w:b/>
          <w:sz w:val="22"/>
        </w:rPr>
        <w:t xml:space="preserve">Compute: </w:t>
      </w:r>
      <w:r>
        <w:rPr>
          <w:rFonts w:ascii="Times New Roman" w:hAnsi="Times New Roman"/>
          <w:sz w:val="22"/>
        </w:rPr>
        <w:t xml:space="preserve"> $60.4B, +77% YoY, +18% QoQ. Blackwell 300 ramping at hyperscalers; ASP per system rising as rack-scale GB300 NVL72 mix increases.</w:t>
      </w:r>
    </w:p>
    <w:p>
      <w:pPr>
        <w:pStyle w:val="ListBullet"/>
      </w:pPr>
      <w:r>
        <w:rPr>
          <w:rFonts w:ascii="Times New Roman" w:hAnsi="Times New Roman"/>
          <w:b/>
          <w:sz w:val="22"/>
        </w:rPr>
        <w:t xml:space="preserve">Networking: </w:t>
      </w:r>
      <w:r>
        <w:rPr>
          <w:rFonts w:ascii="Times New Roman" w:hAnsi="Times New Roman"/>
          <w:sz w:val="22"/>
        </w:rPr>
        <w:t xml:space="preserve"> $14.8B, +199% YoY, +35% QoQ. NVLink switch revenue tripled QoQ; InfiniBand demand from new sovereign AI builds (UAE, Saudi, Korea) accelerated.</w:t>
      </w:r>
    </w:p>
    <w:p>
      <w:r>
        <w:rPr>
          <w:rFonts w:ascii="Times New Roman" w:hAnsi="Times New Roman"/>
          <w:b/>
          <w:sz w:val="24"/>
        </w:rPr>
        <w:t>Cut #2: Hyperscale vs ACIE</w:t>
      </w:r>
    </w:p>
    <w:p>
      <w:pPr>
        <w:jc w:val="center"/>
      </w:pPr>
      <w:r>
        <w:drawing>
          <wp:inline xmlns:a="http://schemas.openxmlformats.org/drawingml/2006/main" xmlns:pic="http://schemas.openxmlformats.org/drawingml/2006/picture">
            <wp:extent cx="5943600" cy="2806452"/>
            <wp:docPr id="3" name="Picture 3"/>
            <wp:cNvGraphicFramePr>
              <a:graphicFrameLocks noChangeAspect="1"/>
            </wp:cNvGraphicFramePr>
            <a:graphic>
              <a:graphicData uri="http://schemas.openxmlformats.org/drawingml/2006/picture">
                <pic:pic>
                  <pic:nvPicPr>
                    <pic:cNvPr id="0" name="fig07_hyperscale_acie.png"/>
                    <pic:cNvPicPr/>
                  </pic:nvPicPr>
                  <pic:blipFill>
                    <a:blip r:embed="rId12"/>
                    <a:stretch>
                      <a:fillRect/>
                    </a:stretch>
                  </pic:blipFill>
                  <pic:spPr>
                    <a:xfrm>
                      <a:off x="0" y="0"/>
                      <a:ext cx="5943600" cy="2806452"/>
                    </a:xfrm>
                    <a:prstGeom prst="rect"/>
                  </pic:spPr>
                </pic:pic>
              </a:graphicData>
            </a:graphic>
          </wp:inline>
        </w:drawing>
      </w:r>
    </w:p>
    <w:p>
      <w:pPr>
        <w:jc w:val="left"/>
      </w:pPr>
      <w:r>
        <w:rPr>
          <w:rFonts w:ascii="Times New Roman" w:hAnsi="Times New Roman"/>
          <w:i/>
          <w:color w:val="555555"/>
          <w:sz w:val="18"/>
        </w:rPr>
        <w:t xml:space="preserve">Source: NVIDIA Q1 FY27 CFO Commentary, segment supplement; </w:t>
      </w:r>
      <w:hyperlink r:id="rId10">
        <w:r>
          <w:rPr>
            <w:color w:val="0563C1"/>
            <w:u w:val="single"/>
            <w:rFonts w:ascii="Times New Roman" w:hAnsi="Times New Roman"/>
            <w:sz w:val="22"/>
          </w:rPr>
          <w:t>Investor Relations</w:t>
        </w:r>
      </w:hyperlink>
    </w:p>
    <w:p>
      <w:r>
        <w:rPr>
          <w:rFonts w:ascii="Times New Roman" w:hAnsi="Times New Roman"/>
          <w:b w:val="0"/>
          <w:i w:val="0"/>
          <w:sz w:val="22"/>
        </w:rPr>
        <w:t>The hyperscaler-vs-everyone-else gap widened. Hyperscale grew +115% YoY to $37.9B; ACIE (Auto + Cloud + Industrial + Enterprise + Sovereign) grew +74% to $37.4B. This complicates the buy-side narrative of 'enterprise diversification reducing concentration risk.' On the contrary, the marginal dollar of Data Center growth is becoming more concentrated in five customers (Microsoft, Amazon, Google, Meta, Oracle) than less. Sovereign / large-enterprise builds are real and growing, but not catching up.</w:t>
      </w:r>
    </w:p>
    <w:p>
      <w:r>
        <w:br w:type="page"/>
      </w:r>
    </w:p>
    <w:p>
      <w:r>
        <w:rPr>
          <w:rFonts w:ascii="Times New Roman" w:hAnsi="Times New Roman"/>
          <w:b/>
          <w:sz w:val="28"/>
        </w:rPr>
        <w:t>Margins, EPS, and Cash Generation</w:t>
      </w:r>
    </w:p>
    <w:p>
      <w:pPr>
        <w:jc w:val="center"/>
      </w:pPr>
      <w:r>
        <w:drawing>
          <wp:inline xmlns:a="http://schemas.openxmlformats.org/drawingml/2006/main" xmlns:pic="http://schemas.openxmlformats.org/drawingml/2006/picture">
            <wp:extent cx="5943600" cy="2934536"/>
            <wp:docPr id="4" name="Picture 4"/>
            <wp:cNvGraphicFramePr>
              <a:graphicFrameLocks noChangeAspect="1"/>
            </wp:cNvGraphicFramePr>
            <a:graphic>
              <a:graphicData uri="http://schemas.openxmlformats.org/drawingml/2006/picture">
                <pic:pic>
                  <pic:nvPicPr>
                    <pic:cNvPr id="0" name="fig02_quarterly_eps.png"/>
                    <pic:cNvPicPr/>
                  </pic:nvPicPr>
                  <pic:blipFill>
                    <a:blip r:embed="rId13"/>
                    <a:stretch>
                      <a:fillRect/>
                    </a:stretch>
                  </pic:blipFill>
                  <pic:spPr>
                    <a:xfrm>
                      <a:off x="0" y="0"/>
                      <a:ext cx="5943600" cy="2934536"/>
                    </a:xfrm>
                    <a:prstGeom prst="rect"/>
                  </pic:spPr>
                </pic:pic>
              </a:graphicData>
            </a:graphic>
          </wp:inline>
        </w:drawing>
      </w:r>
    </w:p>
    <w:p>
      <w:pPr>
        <w:jc w:val="left"/>
      </w:pPr>
      <w:r>
        <w:rPr>
          <w:rFonts w:ascii="Times New Roman" w:hAnsi="Times New Roman"/>
          <w:i/>
          <w:color w:val="555555"/>
          <w:sz w:val="18"/>
        </w:rPr>
        <w:t xml:space="preserve">Source: NVIDIA earnings releases Q1 FY26 – Q1 FY27. </w:t>
      </w:r>
      <w:hyperlink r:id="rId10">
        <w:r>
          <w:rPr>
            <w:color w:val="0563C1"/>
            <w:u w:val="single"/>
            <w:rFonts w:ascii="Times New Roman" w:hAnsi="Times New Roman"/>
            <w:sz w:val="22"/>
          </w:rPr>
          <w:t>Investor Relations</w:t>
        </w:r>
      </w:hyperlink>
    </w:p>
    <w:p>
      <w:pPr>
        <w:jc w:val="center"/>
      </w:pPr>
      <w:r>
        <w:drawing>
          <wp:inline xmlns:a="http://schemas.openxmlformats.org/drawingml/2006/main" xmlns:pic="http://schemas.openxmlformats.org/drawingml/2006/picture">
            <wp:extent cx="5943600" cy="2934536"/>
            <wp:docPr id="5" name="Picture 5"/>
            <wp:cNvGraphicFramePr>
              <a:graphicFrameLocks noChangeAspect="1"/>
            </wp:cNvGraphicFramePr>
            <a:graphic>
              <a:graphicData uri="http://schemas.openxmlformats.org/drawingml/2006/picture">
                <pic:pic>
                  <pic:nvPicPr>
                    <pic:cNvPr id="0" name="fig03_gross_margin.png"/>
                    <pic:cNvPicPr/>
                  </pic:nvPicPr>
                  <pic:blipFill>
                    <a:blip r:embed="rId14"/>
                    <a:stretch>
                      <a:fillRect/>
                    </a:stretch>
                  </pic:blipFill>
                  <pic:spPr>
                    <a:xfrm>
                      <a:off x="0" y="0"/>
                      <a:ext cx="5943600" cy="2934536"/>
                    </a:xfrm>
                    <a:prstGeom prst="rect"/>
                  </pic:spPr>
                </pic:pic>
              </a:graphicData>
            </a:graphic>
          </wp:inline>
        </w:drawing>
      </w:r>
    </w:p>
    <w:p>
      <w:pPr>
        <w:jc w:val="left"/>
      </w:pPr>
      <w:r>
        <w:rPr>
          <w:rFonts w:ascii="Times New Roman" w:hAnsi="Times New Roman"/>
          <w:i/>
          <w:color w:val="555555"/>
          <w:sz w:val="18"/>
        </w:rPr>
        <w:t>Source: NVIDIA quarterly CFO Commentary documents. Q1 FY26 GM reflects $4.5B H20 inventory charge; ex-charge GM would have been ~71%.</w:t>
      </w:r>
    </w:p>
    <w:p>
      <w:r>
        <w:rPr>
          <w:rFonts w:ascii="Times New Roman" w:hAnsi="Times New Roman"/>
          <w:b w:val="0"/>
          <w:i w:val="0"/>
          <w:sz w:val="22"/>
        </w:rPr>
        <w:t>Non-GAAP gross margin printed 75.0%, at the high end of the prior 73.5%–74.5% guide and 100 bps above consensus. The walk: Blackwell yields continued to improve (~80 bps tailwind), networking attach was margin-accretive (~50 bps), partly offset by HBM4 cost inflation and a ~30 bps drag from RTX PRO enterprise mix. Management guided Q2 GM at 75.0% (±50 bps), suggesting comfort that current levels are sustainable as Rubin pre-build does not begin pressuring COGS until late FY27.</w:t>
      </w:r>
    </w:p>
    <w:p>
      <w:pPr>
        <w:jc w:val="center"/>
      </w:pPr>
      <w:r>
        <w:drawing>
          <wp:inline xmlns:a="http://schemas.openxmlformats.org/drawingml/2006/main" xmlns:pic="http://schemas.openxmlformats.org/drawingml/2006/picture">
            <wp:extent cx="5943600" cy="2936838"/>
            <wp:docPr id="6" name="Picture 6"/>
            <wp:cNvGraphicFramePr>
              <a:graphicFrameLocks noChangeAspect="1"/>
            </wp:cNvGraphicFramePr>
            <a:graphic>
              <a:graphicData uri="http://schemas.openxmlformats.org/drawingml/2006/picture">
                <pic:pic>
                  <pic:nvPicPr>
                    <pic:cNvPr id="0" name="fig09_fcf.png"/>
                    <pic:cNvPicPr/>
                  </pic:nvPicPr>
                  <pic:blipFill>
                    <a:blip r:embed="rId15"/>
                    <a:stretch>
                      <a:fillRect/>
                    </a:stretch>
                  </pic:blipFill>
                  <pic:spPr>
                    <a:xfrm>
                      <a:off x="0" y="0"/>
                      <a:ext cx="5943600" cy="2936838"/>
                    </a:xfrm>
                    <a:prstGeom prst="rect"/>
                  </pic:spPr>
                </pic:pic>
              </a:graphicData>
            </a:graphic>
          </wp:inline>
        </w:drawing>
      </w:r>
    </w:p>
    <w:p>
      <w:pPr>
        <w:jc w:val="left"/>
      </w:pPr>
      <w:r>
        <w:rPr>
          <w:rFonts w:ascii="Times New Roman" w:hAnsi="Times New Roman"/>
          <w:i/>
          <w:color w:val="555555"/>
          <w:sz w:val="18"/>
        </w:rPr>
        <w:t>Source: NVIDIA cash-flow statement, Q1 FY26 – Q1 FY27. FCF = OCF − CapEx.</w:t>
      </w:r>
    </w:p>
    <w:p>
      <w:r>
        <w:rPr>
          <w:rFonts w:ascii="Times New Roman" w:hAnsi="Times New Roman"/>
          <w:b w:val="0"/>
          <w:i w:val="0"/>
          <w:sz w:val="22"/>
        </w:rPr>
        <w:t>Free cash flow of $48.6B represented a 60% margin — the highest in company history and ~3× Meta's recent FCF margin peak. Capex of $1.8B remains de minimis relative to revenue (~2.2%); the asset-light fab partnership model with TSMC continues to differentiate NVIDIA from peers contemplating in-house silicon (AMD, AVGO).</w:t>
      </w:r>
    </w:p>
    <w:p>
      <w:r>
        <w:br w:type="page"/>
      </w:r>
    </w:p>
    <w:p>
      <w:r>
        <w:rPr>
          <w:rFonts w:ascii="Times New Roman" w:hAnsi="Times New Roman"/>
          <w:b/>
          <w:sz w:val="28"/>
        </w:rPr>
        <w:t>Beat/Miss Detail &amp; Q2 Guidance</w:t>
      </w:r>
    </w:p>
    <w:p>
      <w:pPr>
        <w:jc w:val="center"/>
      </w:pPr>
      <w:r>
        <w:drawing>
          <wp:inline xmlns:a="http://schemas.openxmlformats.org/drawingml/2006/main" xmlns:pic="http://schemas.openxmlformats.org/drawingml/2006/picture">
            <wp:extent cx="5943600" cy="2929944"/>
            <wp:docPr id="7" name="Picture 7"/>
            <wp:cNvGraphicFramePr>
              <a:graphicFrameLocks noChangeAspect="1"/>
            </wp:cNvGraphicFramePr>
            <a:graphic>
              <a:graphicData uri="http://schemas.openxmlformats.org/drawingml/2006/picture">
                <pic:pic>
                  <pic:nvPicPr>
                    <pic:cNvPr id="0" name="fig04_beat_miss.png"/>
                    <pic:cNvPicPr/>
                  </pic:nvPicPr>
                  <pic:blipFill>
                    <a:blip r:embed="rId16"/>
                    <a:stretch>
                      <a:fillRect/>
                    </a:stretch>
                  </pic:blipFill>
                  <pic:spPr>
                    <a:xfrm>
                      <a:off x="0" y="0"/>
                      <a:ext cx="5943600" cy="2929944"/>
                    </a:xfrm>
                    <a:prstGeom prst="rect"/>
                  </pic:spPr>
                </pic:pic>
              </a:graphicData>
            </a:graphic>
          </wp:inline>
        </w:drawing>
      </w:r>
    </w:p>
    <w:p>
      <w:pPr>
        <w:jc w:val="left"/>
      </w:pPr>
      <w:r>
        <w:rPr>
          <w:rFonts w:ascii="Times New Roman" w:hAnsi="Times New Roman"/>
          <w:i/>
          <w:color w:val="555555"/>
          <w:sz w:val="18"/>
        </w:rPr>
        <w:t>Source: NVIDIA Q1 FY27 earnings release; FactSet consensus survey (n=38 analysts), May 19, 2026 close.</w:t>
      </w:r>
    </w:p>
    <w:p>
      <w:r>
        <w:rPr>
          <w:rFonts w:ascii="Times New Roman" w:hAnsi="Times New Roman"/>
          <w:b w:val="0"/>
          <w:i w:val="0"/>
          <w:sz w:val="22"/>
        </w:rPr>
        <w:t>All three headline metrics beat sell-side consensus. The pattern of the beat — EPS beat (+6.3%) wider than revenue beat (+2.5%) — confirms operating leverage is still expanding; opex grew only ~30% YoY against 85% revenue growth (Figure 8). The EPS beat versus the buy-side whisper of $1.85–1.90 was narrower, however, explaining the muted stock reaction.</w:t>
      </w:r>
    </w:p>
    <w:p>
      <w:pPr>
        <w:jc w:val="center"/>
      </w:pPr>
      <w:r>
        <w:drawing>
          <wp:inline xmlns:a="http://schemas.openxmlformats.org/drawingml/2006/main" xmlns:pic="http://schemas.openxmlformats.org/drawingml/2006/picture">
            <wp:extent cx="5943600" cy="2934536"/>
            <wp:docPr id="8" name="Picture 8"/>
            <wp:cNvGraphicFramePr>
              <a:graphicFrameLocks noChangeAspect="1"/>
            </wp:cNvGraphicFramePr>
            <a:graphic>
              <a:graphicData uri="http://schemas.openxmlformats.org/drawingml/2006/picture">
                <pic:pic>
                  <pic:nvPicPr>
                    <pic:cNvPr id="0" name="fig08_op_leverage.png"/>
                    <pic:cNvPicPr/>
                  </pic:nvPicPr>
                  <pic:blipFill>
                    <a:blip r:embed="rId17"/>
                    <a:stretch>
                      <a:fillRect/>
                    </a:stretch>
                  </pic:blipFill>
                  <pic:spPr>
                    <a:xfrm>
                      <a:off x="0" y="0"/>
                      <a:ext cx="5943600" cy="2934536"/>
                    </a:xfrm>
                    <a:prstGeom prst="rect"/>
                  </pic:spPr>
                </pic:pic>
              </a:graphicData>
            </a:graphic>
          </wp:inline>
        </w:drawing>
      </w:r>
    </w:p>
    <w:p>
      <w:pPr>
        <w:jc w:val="left"/>
      </w:pPr>
      <w:r>
        <w:rPr>
          <w:rFonts w:ascii="Times New Roman" w:hAnsi="Times New Roman"/>
          <w:i/>
          <w:color w:val="555555"/>
          <w:sz w:val="18"/>
        </w:rPr>
        <w:t>Source: Estimated from NVIDIA quarterly earnings releases; opex includes R&amp;D + SG&amp;A on a non-GAAP basis.</w:t>
      </w:r>
    </w:p>
    <w:p>
      <w:pPr>
        <w:jc w:val="center"/>
      </w:pPr>
      <w:r>
        <w:drawing>
          <wp:inline xmlns:a="http://schemas.openxmlformats.org/drawingml/2006/main" xmlns:pic="http://schemas.openxmlformats.org/drawingml/2006/picture">
            <wp:extent cx="5943600" cy="2932238"/>
            <wp:docPr id="9" name="Picture 9"/>
            <wp:cNvGraphicFramePr>
              <a:graphicFrameLocks noChangeAspect="1"/>
            </wp:cNvGraphicFramePr>
            <a:graphic>
              <a:graphicData uri="http://schemas.openxmlformats.org/drawingml/2006/picture">
                <pic:pic>
                  <pic:nvPicPr>
                    <pic:cNvPr id="0" name="fig05_q2_guidance.png"/>
                    <pic:cNvPicPr/>
                  </pic:nvPicPr>
                  <pic:blipFill>
                    <a:blip r:embed="rId18"/>
                    <a:stretch>
                      <a:fillRect/>
                    </a:stretch>
                  </pic:blipFill>
                  <pic:spPr>
                    <a:xfrm>
                      <a:off x="0" y="0"/>
                      <a:ext cx="5943600" cy="2932238"/>
                    </a:xfrm>
                    <a:prstGeom prst="rect"/>
                  </pic:spPr>
                </pic:pic>
              </a:graphicData>
            </a:graphic>
          </wp:inline>
        </w:drawing>
      </w:r>
    </w:p>
    <w:p>
      <w:pPr>
        <w:jc w:val="left"/>
      </w:pPr>
      <w:r>
        <w:rPr>
          <w:rFonts w:ascii="Times New Roman" w:hAnsi="Times New Roman"/>
          <w:i/>
          <w:color w:val="555555"/>
          <w:sz w:val="18"/>
        </w:rPr>
        <w:t>Source: NVIDIA Q1 FY27 earnings release; FactSet consensus (May 19, 2026).</w:t>
      </w:r>
    </w:p>
    <w:p>
      <w:r>
        <w:rPr>
          <w:rFonts w:ascii="Times New Roman" w:hAnsi="Times New Roman"/>
          <w:b w:val="0"/>
          <w:i w:val="0"/>
          <w:sz w:val="22"/>
        </w:rPr>
        <w:t>The Q2 guide is the more important data point. $91.0B ±2% implies +11.5% QoQ at the midpoint and +63% YoY off a tougher compare. Critically, this guide assumes zero China Data Center compute revenue. Any H200 license relief (the topic of CEO Huang's late addition to the May 12 Trump–Xi summit, per CNBC) would arrive as pure upside. We estimate the China H200 TAM at $5–7B per quarter at current pricing.</w:t>
      </w:r>
    </w:p>
    <w:p>
      <w:r>
        <w:br w:type="page"/>
      </w:r>
    </w:p>
    <w:p>
      <w:r>
        <w:rPr>
          <w:rFonts w:ascii="Times New Roman" w:hAnsi="Times New Roman"/>
          <w:b/>
          <w:sz w:val="28"/>
        </w:rPr>
        <w:t>Updated Estimates</w:t>
      </w:r>
    </w:p>
    <w:p>
      <w:r>
        <w:rPr>
          <w:rFonts w:ascii="Times New Roman" w:hAnsi="Times New Roman"/>
          <w:b w:val="0"/>
          <w:i w:val="0"/>
          <w:sz w:val="22"/>
        </w:rPr>
        <w:t>We raise FY27 and FY28 estimates to reflect (i) the larger-than-expected Q2 guide, (ii) sustained 75% gross margins through Rubin transition, and (iii) modest sovereign / ACIE upside. China optionality remains excluded.</w:t>
      </w:r>
    </w:p>
    <w:p>
      <w:r>
        <w:rPr>
          <w:rFonts w:ascii="Times New Roman" w:hAnsi="Times New Roman"/>
          <w:b/>
          <w:i/>
          <w:sz w:val="22"/>
        </w:rPr>
        <w:t>Summary Table 2. Estimate Revisions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2016"/>
          </w:tcPr>
          <w:p>
            <w:r/>
            <w:r>
              <w:rPr>
                <w:rFonts w:ascii="Times New Roman" w:hAnsi="Times New Roman"/>
                <w:b/>
                <w:color w:val="FFFFFF"/>
                <w:sz w:val="20"/>
              </w:rPr>
              <w:t>Metric</w:t>
            </w:r>
          </w:p>
        </w:tc>
        <w:tc>
          <w:tcPr>
            <w:tcW w:type="dxa" w:w="1296"/>
          </w:tcPr>
          <w:p>
            <w:r/>
            <w:r>
              <w:rPr>
                <w:rFonts w:ascii="Times New Roman" w:hAnsi="Times New Roman"/>
                <w:b/>
                <w:color w:val="FFFFFF"/>
                <w:sz w:val="20"/>
              </w:rPr>
              <w:t>FY27 Old</w:t>
            </w:r>
          </w:p>
        </w:tc>
        <w:tc>
          <w:tcPr>
            <w:tcW w:type="dxa" w:w="1296"/>
          </w:tcPr>
          <w:p>
            <w:r/>
            <w:r>
              <w:rPr>
                <w:rFonts w:ascii="Times New Roman" w:hAnsi="Times New Roman"/>
                <w:b/>
                <w:color w:val="FFFFFF"/>
                <w:sz w:val="20"/>
              </w:rPr>
              <w:t>FY27 New</w:t>
            </w:r>
          </w:p>
        </w:tc>
        <w:tc>
          <w:tcPr>
            <w:tcW w:type="dxa" w:w="1008"/>
          </w:tcPr>
          <w:p>
            <w:r/>
            <w:r>
              <w:rPr>
                <w:rFonts w:ascii="Times New Roman" w:hAnsi="Times New Roman"/>
                <w:b/>
                <w:color w:val="FFFFFF"/>
                <w:sz w:val="20"/>
              </w:rPr>
              <w:t>Δ</w:t>
            </w:r>
          </w:p>
        </w:tc>
        <w:tc>
          <w:tcPr>
            <w:tcW w:type="dxa" w:w="1296"/>
          </w:tcPr>
          <w:p>
            <w:r/>
            <w:r>
              <w:rPr>
                <w:rFonts w:ascii="Times New Roman" w:hAnsi="Times New Roman"/>
                <w:b/>
                <w:color w:val="FFFFFF"/>
                <w:sz w:val="20"/>
              </w:rPr>
              <w:t>FY28 Old</w:t>
            </w:r>
          </w:p>
        </w:tc>
        <w:tc>
          <w:tcPr>
            <w:tcW w:type="dxa" w:w="1296"/>
          </w:tcPr>
          <w:p>
            <w:r/>
            <w:r>
              <w:rPr>
                <w:rFonts w:ascii="Times New Roman" w:hAnsi="Times New Roman"/>
                <w:b/>
                <w:color w:val="FFFFFF"/>
                <w:sz w:val="20"/>
              </w:rPr>
              <w:t>FY28 New</w:t>
            </w:r>
          </w:p>
        </w:tc>
        <w:tc>
          <w:tcPr>
            <w:tcW w:type="dxa" w:w="1008"/>
          </w:tcPr>
          <w:p>
            <w:r/>
            <w:r>
              <w:rPr>
                <w:rFonts w:ascii="Times New Roman" w:hAnsi="Times New Roman"/>
                <w:b/>
                <w:color w:val="FFFFFF"/>
                <w:sz w:val="20"/>
              </w:rPr>
              <w:t>Δ</w:t>
            </w:r>
          </w:p>
        </w:tc>
      </w:tr>
      <w:tr>
        <w:tc>
          <w:tcPr>
            <w:tcW w:type="dxa" w:w="2016"/>
          </w:tcPr>
          <w:p>
            <w:r/>
            <w:r>
              <w:rPr>
                <w:rFonts w:ascii="Times New Roman" w:hAnsi="Times New Roman"/>
                <w:sz w:val="20"/>
              </w:rPr>
              <w:t>Revenue ($B)</w:t>
            </w:r>
          </w:p>
        </w:tc>
        <w:tc>
          <w:tcPr>
            <w:tcW w:type="dxa" w:w="1296"/>
          </w:tcPr>
          <w:p>
            <w:r/>
            <w:r>
              <w:rPr>
                <w:rFonts w:ascii="Times New Roman" w:hAnsi="Times New Roman"/>
                <w:sz w:val="20"/>
              </w:rPr>
              <w:t>330</w:t>
            </w:r>
          </w:p>
        </w:tc>
        <w:tc>
          <w:tcPr>
            <w:tcW w:type="dxa" w:w="1296"/>
          </w:tcPr>
          <w:p>
            <w:r/>
            <w:r>
              <w:rPr>
                <w:rFonts w:ascii="Times New Roman" w:hAnsi="Times New Roman"/>
                <w:sz w:val="20"/>
              </w:rPr>
              <w:t>365</w:t>
            </w:r>
          </w:p>
        </w:tc>
        <w:tc>
          <w:tcPr>
            <w:tcW w:type="dxa" w:w="1008"/>
          </w:tcPr>
          <w:p>
            <w:r/>
            <w:r>
              <w:rPr>
                <w:rFonts w:ascii="Times New Roman" w:hAnsi="Times New Roman"/>
                <w:sz w:val="20"/>
              </w:rPr>
              <w:t>+11%</w:t>
            </w:r>
          </w:p>
        </w:tc>
        <w:tc>
          <w:tcPr>
            <w:tcW w:type="dxa" w:w="1296"/>
          </w:tcPr>
          <w:p>
            <w:r/>
            <w:r>
              <w:rPr>
                <w:rFonts w:ascii="Times New Roman" w:hAnsi="Times New Roman"/>
                <w:sz w:val="20"/>
              </w:rPr>
              <w:t>395</w:t>
            </w:r>
          </w:p>
        </w:tc>
        <w:tc>
          <w:tcPr>
            <w:tcW w:type="dxa" w:w="1296"/>
          </w:tcPr>
          <w:p>
            <w:r/>
            <w:r>
              <w:rPr>
                <w:rFonts w:ascii="Times New Roman" w:hAnsi="Times New Roman"/>
                <w:sz w:val="20"/>
              </w:rPr>
              <w:t>445</w:t>
            </w:r>
          </w:p>
        </w:tc>
        <w:tc>
          <w:tcPr>
            <w:tcW w:type="dxa" w:w="1008"/>
          </w:tcPr>
          <w:p>
            <w:r/>
            <w:r>
              <w:rPr>
                <w:rFonts w:ascii="Times New Roman" w:hAnsi="Times New Roman"/>
                <w:sz w:val="20"/>
              </w:rPr>
              <w:t>+13%</w:t>
            </w:r>
          </w:p>
        </w:tc>
      </w:tr>
      <w:tr>
        <w:tc>
          <w:tcPr>
            <w:tcW w:type="dxa" w:w="2016"/>
          </w:tcPr>
          <w:p>
            <w:r/>
            <w:r>
              <w:rPr>
                <w:rFonts w:ascii="Times New Roman" w:hAnsi="Times New Roman"/>
                <w:sz w:val="20"/>
              </w:rPr>
              <w:t>DC Revenue ($B)</w:t>
            </w:r>
          </w:p>
        </w:tc>
        <w:tc>
          <w:tcPr>
            <w:tcW w:type="dxa" w:w="1296"/>
          </w:tcPr>
          <w:p>
            <w:r/>
            <w:r>
              <w:rPr>
                <w:rFonts w:ascii="Times New Roman" w:hAnsi="Times New Roman"/>
                <w:sz w:val="20"/>
              </w:rPr>
              <w:t>302</w:t>
            </w:r>
          </w:p>
        </w:tc>
        <w:tc>
          <w:tcPr>
            <w:tcW w:type="dxa" w:w="1296"/>
          </w:tcPr>
          <w:p>
            <w:r/>
            <w:r>
              <w:rPr>
                <w:rFonts w:ascii="Times New Roman" w:hAnsi="Times New Roman"/>
                <w:sz w:val="20"/>
              </w:rPr>
              <w:t>338</w:t>
            </w:r>
          </w:p>
        </w:tc>
        <w:tc>
          <w:tcPr>
            <w:tcW w:type="dxa" w:w="1008"/>
          </w:tcPr>
          <w:p>
            <w:r/>
            <w:r>
              <w:rPr>
                <w:rFonts w:ascii="Times New Roman" w:hAnsi="Times New Roman"/>
                <w:sz w:val="20"/>
              </w:rPr>
              <w:t>+12%</w:t>
            </w:r>
          </w:p>
        </w:tc>
        <w:tc>
          <w:tcPr>
            <w:tcW w:type="dxa" w:w="1296"/>
          </w:tcPr>
          <w:p>
            <w:r/>
            <w:r>
              <w:rPr>
                <w:rFonts w:ascii="Times New Roman" w:hAnsi="Times New Roman"/>
                <w:sz w:val="20"/>
              </w:rPr>
              <w:t>365</w:t>
            </w:r>
          </w:p>
        </w:tc>
        <w:tc>
          <w:tcPr>
            <w:tcW w:type="dxa" w:w="1296"/>
          </w:tcPr>
          <w:p>
            <w:r/>
            <w:r>
              <w:rPr>
                <w:rFonts w:ascii="Times New Roman" w:hAnsi="Times New Roman"/>
                <w:sz w:val="20"/>
              </w:rPr>
              <w:t>415</w:t>
            </w:r>
          </w:p>
        </w:tc>
        <w:tc>
          <w:tcPr>
            <w:tcW w:type="dxa" w:w="1008"/>
          </w:tcPr>
          <w:p>
            <w:r/>
            <w:r>
              <w:rPr>
                <w:rFonts w:ascii="Times New Roman" w:hAnsi="Times New Roman"/>
                <w:sz w:val="20"/>
              </w:rPr>
              <w:t>+14%</w:t>
            </w:r>
          </w:p>
        </w:tc>
      </w:tr>
      <w:tr>
        <w:tc>
          <w:tcPr>
            <w:tcW w:type="dxa" w:w="2016"/>
          </w:tcPr>
          <w:p>
            <w:r/>
            <w:r>
              <w:rPr>
                <w:rFonts w:ascii="Times New Roman" w:hAnsi="Times New Roman"/>
                <w:sz w:val="20"/>
              </w:rPr>
              <w:t>Non-GAAP GM</w:t>
            </w:r>
          </w:p>
        </w:tc>
        <w:tc>
          <w:tcPr>
            <w:tcW w:type="dxa" w:w="1296"/>
          </w:tcPr>
          <w:p>
            <w:r/>
            <w:r>
              <w:rPr>
                <w:rFonts w:ascii="Times New Roman" w:hAnsi="Times New Roman"/>
                <w:sz w:val="20"/>
              </w:rPr>
              <w:t>74.0%</w:t>
            </w:r>
          </w:p>
        </w:tc>
        <w:tc>
          <w:tcPr>
            <w:tcW w:type="dxa" w:w="1296"/>
          </w:tcPr>
          <w:p>
            <w:r/>
            <w:r>
              <w:rPr>
                <w:rFonts w:ascii="Times New Roman" w:hAnsi="Times New Roman"/>
                <w:sz w:val="20"/>
              </w:rPr>
              <w:t>74.8%</w:t>
            </w:r>
          </w:p>
        </w:tc>
        <w:tc>
          <w:tcPr>
            <w:tcW w:type="dxa" w:w="1008"/>
          </w:tcPr>
          <w:p>
            <w:r/>
            <w:r>
              <w:rPr>
                <w:rFonts w:ascii="Times New Roman" w:hAnsi="Times New Roman"/>
                <w:sz w:val="20"/>
              </w:rPr>
              <w:t>+80bp</w:t>
            </w:r>
          </w:p>
        </w:tc>
        <w:tc>
          <w:tcPr>
            <w:tcW w:type="dxa" w:w="1296"/>
          </w:tcPr>
          <w:p>
            <w:r/>
            <w:r>
              <w:rPr>
                <w:rFonts w:ascii="Times New Roman" w:hAnsi="Times New Roman"/>
                <w:sz w:val="20"/>
              </w:rPr>
              <w:t>73.5%</w:t>
            </w:r>
          </w:p>
        </w:tc>
        <w:tc>
          <w:tcPr>
            <w:tcW w:type="dxa" w:w="1296"/>
          </w:tcPr>
          <w:p>
            <w:r/>
            <w:r>
              <w:rPr>
                <w:rFonts w:ascii="Times New Roman" w:hAnsi="Times New Roman"/>
                <w:sz w:val="20"/>
              </w:rPr>
              <w:t>74.0%</w:t>
            </w:r>
          </w:p>
        </w:tc>
        <w:tc>
          <w:tcPr>
            <w:tcW w:type="dxa" w:w="1008"/>
          </w:tcPr>
          <w:p>
            <w:r/>
            <w:r>
              <w:rPr>
                <w:rFonts w:ascii="Times New Roman" w:hAnsi="Times New Roman"/>
                <w:sz w:val="20"/>
              </w:rPr>
              <w:t>+50bp</w:t>
            </w:r>
          </w:p>
        </w:tc>
      </w:tr>
      <w:tr>
        <w:tc>
          <w:tcPr>
            <w:tcW w:type="dxa" w:w="2016"/>
          </w:tcPr>
          <w:p>
            <w:r/>
            <w:r>
              <w:rPr>
                <w:rFonts w:ascii="Times New Roman" w:hAnsi="Times New Roman"/>
                <w:sz w:val="20"/>
              </w:rPr>
              <w:t>Non-GAAP EPS ($)</w:t>
            </w:r>
          </w:p>
        </w:tc>
        <w:tc>
          <w:tcPr>
            <w:tcW w:type="dxa" w:w="1296"/>
          </w:tcPr>
          <w:p>
            <w:r/>
            <w:r>
              <w:rPr>
                <w:rFonts w:ascii="Times New Roman" w:hAnsi="Times New Roman"/>
                <w:sz w:val="20"/>
              </w:rPr>
              <w:t>7.20</w:t>
            </w:r>
          </w:p>
        </w:tc>
        <w:tc>
          <w:tcPr>
            <w:tcW w:type="dxa" w:w="1296"/>
          </w:tcPr>
          <w:p>
            <w:r/>
            <w:r>
              <w:rPr>
                <w:rFonts w:ascii="Times New Roman" w:hAnsi="Times New Roman"/>
                <w:sz w:val="20"/>
              </w:rPr>
              <w:t>8.05</w:t>
            </w:r>
          </w:p>
        </w:tc>
        <w:tc>
          <w:tcPr>
            <w:tcW w:type="dxa" w:w="1008"/>
          </w:tcPr>
          <w:p>
            <w:r/>
            <w:r>
              <w:rPr>
                <w:rFonts w:ascii="Times New Roman" w:hAnsi="Times New Roman"/>
                <w:sz w:val="20"/>
              </w:rPr>
              <w:t>+12%</w:t>
            </w:r>
          </w:p>
        </w:tc>
        <w:tc>
          <w:tcPr>
            <w:tcW w:type="dxa" w:w="1296"/>
          </w:tcPr>
          <w:p>
            <w:r/>
            <w:r>
              <w:rPr>
                <w:rFonts w:ascii="Times New Roman" w:hAnsi="Times New Roman"/>
                <w:sz w:val="20"/>
              </w:rPr>
              <w:t>9.10</w:t>
            </w:r>
          </w:p>
        </w:tc>
        <w:tc>
          <w:tcPr>
            <w:tcW w:type="dxa" w:w="1296"/>
          </w:tcPr>
          <w:p>
            <w:r/>
            <w:r>
              <w:rPr>
                <w:rFonts w:ascii="Times New Roman" w:hAnsi="Times New Roman"/>
                <w:sz w:val="20"/>
              </w:rPr>
              <w:t>10.50</w:t>
            </w:r>
          </w:p>
        </w:tc>
        <w:tc>
          <w:tcPr>
            <w:tcW w:type="dxa" w:w="1008"/>
          </w:tcPr>
          <w:p>
            <w:r/>
            <w:r>
              <w:rPr>
                <w:rFonts w:ascii="Times New Roman" w:hAnsi="Times New Roman"/>
                <w:sz w:val="20"/>
              </w:rPr>
              <w:t>+15%</w:t>
            </w:r>
          </w:p>
        </w:tc>
      </w:tr>
      <w:tr>
        <w:tc>
          <w:tcPr>
            <w:tcW w:type="dxa" w:w="2016"/>
          </w:tcPr>
          <w:p>
            <w:r/>
            <w:r>
              <w:rPr>
                <w:rFonts w:ascii="Times New Roman" w:hAnsi="Times New Roman"/>
                <w:sz w:val="20"/>
              </w:rPr>
              <w:t>FCF ($B)</w:t>
            </w:r>
          </w:p>
        </w:tc>
        <w:tc>
          <w:tcPr>
            <w:tcW w:type="dxa" w:w="1296"/>
          </w:tcPr>
          <w:p>
            <w:r/>
            <w:r>
              <w:rPr>
                <w:rFonts w:ascii="Times New Roman" w:hAnsi="Times New Roman"/>
                <w:sz w:val="20"/>
              </w:rPr>
              <w:t>180</w:t>
            </w:r>
          </w:p>
        </w:tc>
        <w:tc>
          <w:tcPr>
            <w:tcW w:type="dxa" w:w="1296"/>
          </w:tcPr>
          <w:p>
            <w:r/>
            <w:r>
              <w:rPr>
                <w:rFonts w:ascii="Times New Roman" w:hAnsi="Times New Roman"/>
                <w:sz w:val="20"/>
              </w:rPr>
              <w:t>215</w:t>
            </w:r>
          </w:p>
        </w:tc>
        <w:tc>
          <w:tcPr>
            <w:tcW w:type="dxa" w:w="1008"/>
          </w:tcPr>
          <w:p>
            <w:r/>
            <w:r>
              <w:rPr>
                <w:rFonts w:ascii="Times New Roman" w:hAnsi="Times New Roman"/>
                <w:sz w:val="20"/>
              </w:rPr>
              <w:t>+19%</w:t>
            </w:r>
          </w:p>
        </w:tc>
        <w:tc>
          <w:tcPr>
            <w:tcW w:type="dxa" w:w="1296"/>
          </w:tcPr>
          <w:p>
            <w:r/>
            <w:r>
              <w:rPr>
                <w:rFonts w:ascii="Times New Roman" w:hAnsi="Times New Roman"/>
                <w:sz w:val="20"/>
              </w:rPr>
              <w:t>215</w:t>
            </w:r>
          </w:p>
        </w:tc>
        <w:tc>
          <w:tcPr>
            <w:tcW w:type="dxa" w:w="1296"/>
          </w:tcPr>
          <w:p>
            <w:r/>
            <w:r>
              <w:rPr>
                <w:rFonts w:ascii="Times New Roman" w:hAnsi="Times New Roman"/>
                <w:sz w:val="20"/>
              </w:rPr>
              <w:t>265</w:t>
            </w:r>
          </w:p>
        </w:tc>
        <w:tc>
          <w:tcPr>
            <w:tcW w:type="dxa" w:w="1008"/>
          </w:tcPr>
          <w:p>
            <w:r/>
            <w:r>
              <w:rPr>
                <w:rFonts w:ascii="Times New Roman" w:hAnsi="Times New Roman"/>
                <w:sz w:val="20"/>
              </w:rPr>
              <w:t>+23%</w:t>
            </w:r>
          </w:p>
        </w:tc>
      </w:tr>
    </w:tbl>
    <w:p>
      <w:r>
        <w:rPr>
          <w:rFonts w:ascii="Times New Roman" w:hAnsi="Times New Roman"/>
          <w:b w:val="0"/>
          <w:i w:val="0"/>
          <w:sz w:val="22"/>
        </w:rPr>
      </w:r>
    </w:p>
    <w:p>
      <w:r>
        <w:rPr>
          <w:rFonts w:ascii="Times New Roman" w:hAnsi="Times New Roman"/>
          <w:b w:val="0"/>
          <w:i/>
          <w:sz w:val="18"/>
        </w:rPr>
        <w:t>Source: J.P. Morgan estimates (illustrative); old estimates as of Feb 2026 earnings update; new estimates incorporate Q1 FY27 results and revised Q2 FY27 guide. Consensus FY27 EPS now $7.85 per FactSet (May 21, 2026), implying our new estimate is ~2.5% above Street.</w:t>
      </w:r>
    </w:p>
    <w:p>
      <w:r>
        <w:rPr>
          <w:rFonts w:ascii="Times New Roman" w:hAnsi="Times New Roman"/>
          <w:b/>
          <w:sz w:val="24"/>
        </w:rPr>
        <w:t>Price Target: $195 (from $175)</w:t>
      </w:r>
    </w:p>
    <w:p>
      <w:r>
        <w:rPr>
          <w:rFonts w:ascii="Times New Roman" w:hAnsi="Times New Roman"/>
          <w:b w:val="0"/>
          <w:i w:val="0"/>
          <w:sz w:val="22"/>
        </w:rPr>
        <w:t>We apply a 24× multiple to FY28E non-GAAP EPS of $10.50, discounted one year at 8% = ~$233 forward-PT, normalized to a 12-month $195 target. The 24× multiple sits at the midpoint of the 5-year P/E range (18× – 32×) and reflects (a) the durability of the AI capex cycle through at least FY29, (b) margin sustainability above 70%, and (c) moderating but still mid-teens revenue growth in FY29. Bear case ($135) assumes a hyperscaler digestion period in 2H FY28; bull case ($245) assumes China H200 unlock plus Rubin pre-orders accelerating into FY28.</w:t>
      </w:r>
    </w:p>
    <w:p>
      <w:r>
        <w:br w:type="page"/>
      </w:r>
    </w:p>
    <w:p>
      <w:r>
        <w:rPr>
          <w:rFonts w:ascii="Times New Roman" w:hAnsi="Times New Roman"/>
          <w:b/>
          <w:sz w:val="28"/>
        </w:rPr>
        <w:t>Updated Investment Thesis</w:t>
      </w:r>
    </w:p>
    <w:p>
      <w:r>
        <w:rPr>
          <w:rFonts w:ascii="Times New Roman" w:hAnsi="Times New Roman"/>
          <w:b w:val="0"/>
          <w:i w:val="0"/>
          <w:sz w:val="22"/>
        </w:rPr>
        <w:t>Our thesis since initiation has been a three-leg stool: (1) AI-factory capex is a multi-year, multi-trillion-dollar buildout — not a 2-year cycle; (2) NVIDIA's full-stack moat (silicon + CUDA + NVLink + DGX + Cloud) is widening, not narrowing; (3) gross-margin structural support above 70%. This quarter reinforces all three.</w:t>
      </w:r>
    </w:p>
    <w:p>
      <w:r>
        <w:rPr>
          <w:rFonts w:ascii="Times New Roman" w:hAnsi="Times New Roman"/>
          <w:b/>
          <w:sz w:val="24"/>
        </w:rPr>
        <w:t>What This Print Changed</w:t>
      </w:r>
    </w:p>
    <w:p>
      <w:pPr>
        <w:pStyle w:val="ListBullet"/>
      </w:pPr>
      <w:r>
        <w:rPr>
          <w:rFonts w:ascii="Times New Roman" w:hAnsi="Times New Roman"/>
          <w:b/>
          <w:sz w:val="22"/>
        </w:rPr>
        <w:t xml:space="preserve">Confirmed: NVLink/rack-scale moat. </w:t>
      </w:r>
      <w:r>
        <w:rPr>
          <w:rFonts w:ascii="Times New Roman" w:hAnsi="Times New Roman"/>
          <w:sz w:val="22"/>
        </w:rPr>
        <w:t xml:space="preserve"> Networking revenue +199% YoY to $14.8B confirms that the rack-scale shift is not optional. AVGO and ARM are exposed peripheral plays; NVIDIA captures the integrated value.</w:t>
      </w:r>
    </w:p>
    <w:p>
      <w:pPr>
        <w:pStyle w:val="ListBullet"/>
      </w:pPr>
      <w:r>
        <w:rPr>
          <w:rFonts w:ascii="Times New Roman" w:hAnsi="Times New Roman"/>
          <w:b/>
          <w:sz w:val="22"/>
        </w:rPr>
        <w:t xml:space="preserve">Confirmed: visibility into 2H. </w:t>
      </w:r>
      <w:r>
        <w:rPr>
          <w:rFonts w:ascii="Times New Roman" w:hAnsi="Times New Roman"/>
          <w:sz w:val="22"/>
        </w:rPr>
        <w:t xml:space="preserve"> Q2 guide raised by ~$5B above consensus despite removing China — suggests management has high visibility into hyperscaler order books for 2H CY26.</w:t>
      </w:r>
    </w:p>
    <w:p>
      <w:pPr>
        <w:pStyle w:val="ListBullet"/>
      </w:pPr>
      <w:r>
        <w:rPr>
          <w:rFonts w:ascii="Times New Roman" w:hAnsi="Times New Roman"/>
          <w:b/>
          <w:sz w:val="22"/>
        </w:rPr>
        <w:t xml:space="preserve">Confirmed: cash-return scale. </w:t>
      </w:r>
      <w:r>
        <w:rPr>
          <w:rFonts w:ascii="Times New Roman" w:hAnsi="Times New Roman"/>
          <w:sz w:val="22"/>
        </w:rPr>
        <w:t xml:space="preserve"> Capital return policy reset (25× dividend hike + $80B authorization) signals management's confidence the AI capex cycle is past its 'prove it' phase. NVIDIA can fund both buildout and shareholder return.</w:t>
      </w:r>
    </w:p>
    <w:p>
      <w:r>
        <w:rPr>
          <w:rFonts w:ascii="Times New Roman" w:hAnsi="Times New Roman"/>
          <w:b/>
          <w:sz w:val="24"/>
        </w:rPr>
        <w:t>What This Print Did Not Change</w:t>
      </w:r>
    </w:p>
    <w:p>
      <w:pPr>
        <w:pStyle w:val="ListBullet"/>
      </w:pPr>
      <w:r>
        <w:rPr>
          <w:rFonts w:ascii="Times New Roman" w:hAnsi="Times New Roman"/>
          <w:b/>
          <w:sz w:val="22"/>
        </w:rPr>
        <w:t xml:space="preserve">Customer concentration risk. </w:t>
      </w:r>
      <w:r>
        <w:rPr>
          <w:rFonts w:ascii="Times New Roman" w:hAnsi="Times New Roman"/>
          <w:sz w:val="22"/>
        </w:rPr>
        <w:t xml:space="preserve"> 5 customers ~70% of Data Center revenue. Hyperscale growing faster than ACIE means concentration is not abating. Any single hyperscaler pause (e.g., MSFT delayed Athena spend in 2024) would dent results.</w:t>
      </w:r>
    </w:p>
    <w:p>
      <w:pPr>
        <w:pStyle w:val="ListBullet"/>
      </w:pPr>
      <w:r>
        <w:rPr>
          <w:rFonts w:ascii="Times New Roman" w:hAnsi="Times New Roman"/>
          <w:b/>
          <w:sz w:val="22"/>
        </w:rPr>
        <w:t xml:space="preserve">China licensing binary. </w:t>
      </w:r>
      <w:r>
        <w:rPr>
          <w:rFonts w:ascii="Times New Roman" w:hAnsi="Times New Roman"/>
          <w:sz w:val="22"/>
        </w:rPr>
        <w:t xml:space="preserve"> Until the Trump administration grants H200 licenses, this is a &gt;$25B annualized revenue overhang. The May 12 summit produced no clarity; we treat as binary catalyst.</w:t>
      </w:r>
    </w:p>
    <w:p>
      <w:pPr>
        <w:pStyle w:val="ListBullet"/>
      </w:pPr>
      <w:r>
        <w:rPr>
          <w:rFonts w:ascii="Times New Roman" w:hAnsi="Times New Roman"/>
          <w:b/>
          <w:sz w:val="22"/>
        </w:rPr>
        <w:t xml:space="preserve">Rubin transition risk. </w:t>
      </w:r>
      <w:r>
        <w:rPr>
          <w:rFonts w:ascii="Times New Roman" w:hAnsi="Times New Roman"/>
          <w:sz w:val="22"/>
        </w:rPr>
        <w:t xml:space="preserve"> Rubin sampling slated for 2H FY27. Any yield miss or HBM4 shortage could compress GM by 100–200 bps in early FY28; the 75% GM is partly a transition-window high.</w:t>
      </w:r>
    </w:p>
    <w:p>
      <w:r>
        <w:br w:type="page"/>
      </w:r>
    </w:p>
    <w:p>
      <w:r>
        <w:rPr>
          <w:rFonts w:ascii="Times New Roman" w:hAnsi="Times New Roman"/>
          <w:b/>
          <w:sz w:val="28"/>
        </w:rPr>
        <w:t>Stock Reaction &amp; Valuation</w:t>
      </w:r>
    </w:p>
    <w:p>
      <w:pPr>
        <w:jc w:val="center"/>
      </w:pPr>
      <w:r>
        <w:drawing>
          <wp:inline xmlns:a="http://schemas.openxmlformats.org/drawingml/2006/main" xmlns:pic="http://schemas.openxmlformats.org/drawingml/2006/picture">
            <wp:extent cx="5943600" cy="2934536"/>
            <wp:docPr id="10" name="Picture 10"/>
            <wp:cNvGraphicFramePr>
              <a:graphicFrameLocks noChangeAspect="1"/>
            </wp:cNvGraphicFramePr>
            <a:graphic>
              <a:graphicData uri="http://schemas.openxmlformats.org/drawingml/2006/picture">
                <pic:pic>
                  <pic:nvPicPr>
                    <pic:cNvPr id="0" name="fig10_stock_reaction.png"/>
                    <pic:cNvPicPr/>
                  </pic:nvPicPr>
                  <pic:blipFill>
                    <a:blip r:embed="rId19"/>
                    <a:stretch>
                      <a:fillRect/>
                    </a:stretch>
                  </pic:blipFill>
                  <pic:spPr>
                    <a:xfrm>
                      <a:off x="0" y="0"/>
                      <a:ext cx="5943600" cy="2934536"/>
                    </a:xfrm>
                    <a:prstGeom prst="rect"/>
                  </pic:spPr>
                </pic:pic>
              </a:graphicData>
            </a:graphic>
          </wp:inline>
        </w:drawing>
      </w:r>
    </w:p>
    <w:p>
      <w:pPr>
        <w:jc w:val="left"/>
      </w:pPr>
      <w:r>
        <w:rPr>
          <w:rFonts w:ascii="Times New Roman" w:hAnsi="Times New Roman"/>
          <w:i/>
          <w:color w:val="555555"/>
          <w:sz w:val="18"/>
        </w:rPr>
        <w:t>Source: Bloomberg pricing data, 2026-05-18 to 2026-05-22. After-hours move on print not shown in close-to-close.</w:t>
      </w:r>
    </w:p>
    <w:p>
      <w:r>
        <w:rPr>
          <w:rFonts w:ascii="Times New Roman" w:hAnsi="Times New Roman"/>
          <w:b w:val="0"/>
          <w:i w:val="0"/>
          <w:sz w:val="22"/>
        </w:rPr>
        <w:t>NVDA traded down ~6% in the two sessions following the print despite the triple beat. This is the fourth consecutive quarter of a 'sell-the-news' pattern. Our diagnostic:</w:t>
      </w:r>
    </w:p>
    <w:p>
      <w:pPr>
        <w:pStyle w:val="ListBullet"/>
      </w:pPr>
      <w:r>
        <w:rPr>
          <w:rFonts w:ascii="Times New Roman" w:hAnsi="Times New Roman"/>
          <w:b/>
          <w:sz w:val="22"/>
        </w:rPr>
        <w:t xml:space="preserve">Whisper &gt; consensus. </w:t>
      </w:r>
      <w:r>
        <w:rPr>
          <w:rFonts w:ascii="Times New Roman" w:hAnsi="Times New Roman"/>
          <w:sz w:val="22"/>
        </w:rPr>
        <w:t xml:space="preserve"> Buy-side whisper (~$84B for Q2, $1.90 for Q1 EPS) ran ahead of sell-side. Beating Street by 3–6% no longer surprises positioning-light investors.</w:t>
      </w:r>
    </w:p>
    <w:p>
      <w:pPr>
        <w:pStyle w:val="ListBullet"/>
      </w:pPr>
      <w:r>
        <w:rPr>
          <w:rFonts w:ascii="Times New Roman" w:hAnsi="Times New Roman"/>
          <w:b/>
          <w:sz w:val="22"/>
        </w:rPr>
        <w:t xml:space="preserve">Options unwind. </w:t>
      </w:r>
      <w:r>
        <w:rPr>
          <w:rFonts w:ascii="Times New Roman" w:hAnsi="Times New Roman"/>
          <w:sz w:val="22"/>
        </w:rPr>
        <w:t xml:space="preserve"> One-month implied volatility was 38% pre-print; realized was 22%. Vol crush mechanically pressured NVDA call buyers, accelerating downside in the next 48 hours.</w:t>
      </w:r>
    </w:p>
    <w:p>
      <w:pPr>
        <w:pStyle w:val="ListBullet"/>
      </w:pPr>
      <w:r>
        <w:rPr>
          <w:rFonts w:ascii="Times New Roman" w:hAnsi="Times New Roman"/>
          <w:b/>
          <w:sz w:val="22"/>
        </w:rPr>
        <w:t xml:space="preserve">Systematic deleveraging. </w:t>
      </w:r>
      <w:r>
        <w:rPr>
          <w:rFonts w:ascii="Times New Roman" w:hAnsi="Times New Roman"/>
          <w:sz w:val="22"/>
        </w:rPr>
        <w:t xml:space="preserve"> CTA models flipped from $1.5B net long to $0.6B net short in two sessions as price broke the 20-day moving average.</w:t>
      </w:r>
    </w:p>
    <w:p>
      <w:pPr>
        <w:pStyle w:val="ListBullet"/>
      </w:pPr>
      <w:r>
        <w:rPr>
          <w:rFonts w:ascii="Times New Roman" w:hAnsi="Times New Roman"/>
          <w:b/>
          <w:sz w:val="22"/>
        </w:rPr>
        <w:t xml:space="preserve">Fundamental thesis unchanged. </w:t>
      </w:r>
      <w:r>
        <w:rPr>
          <w:rFonts w:ascii="Times New Roman" w:hAnsi="Times New Roman"/>
          <w:sz w:val="22"/>
        </w:rPr>
        <w:t xml:space="preserve"> None of the above are fundamental. We treat the 6% pullback as opportunity, not signal.</w:t>
      </w:r>
    </w:p>
    <w:p>
      <w:r>
        <w:rPr>
          <w:rFonts w:ascii="Times New Roman" w:hAnsi="Times New Roman"/>
          <w:b/>
          <w:i/>
          <w:sz w:val="22"/>
        </w:rPr>
        <w:t>Summary Table 3. Valuation — NVDA vs Mega-Cap Peers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152"/>
          </w:tcPr>
          <w:p>
            <w:r/>
            <w:r>
              <w:rPr>
                <w:rFonts w:ascii="Times New Roman" w:hAnsi="Times New Roman"/>
                <w:b/>
                <w:color w:val="FFFFFF"/>
                <w:sz w:val="20"/>
              </w:rPr>
              <w:t>Ticker</w:t>
            </w:r>
          </w:p>
        </w:tc>
        <w:tc>
          <w:tcPr>
            <w:tcW w:type="dxa" w:w="1584"/>
          </w:tcPr>
          <w:p>
            <w:r/>
            <w:r>
              <w:rPr>
                <w:rFonts w:ascii="Times New Roman" w:hAnsi="Times New Roman"/>
                <w:b/>
                <w:color w:val="FFFFFF"/>
                <w:sz w:val="20"/>
              </w:rPr>
              <w:t>P/E (FY28E)</w:t>
            </w:r>
          </w:p>
        </w:tc>
        <w:tc>
          <w:tcPr>
            <w:tcW w:type="dxa" w:w="1440"/>
          </w:tcPr>
          <w:p>
            <w:r/>
            <w:r>
              <w:rPr>
                <w:rFonts w:ascii="Times New Roman" w:hAnsi="Times New Roman"/>
                <w:b/>
                <w:color w:val="FFFFFF"/>
                <w:sz w:val="20"/>
              </w:rPr>
              <w:t>EV/EBITDA</w:t>
            </w:r>
          </w:p>
        </w:tc>
        <w:tc>
          <w:tcPr>
            <w:tcW w:type="dxa" w:w="1440"/>
          </w:tcPr>
          <w:p>
            <w:r/>
            <w:r>
              <w:rPr>
                <w:rFonts w:ascii="Times New Roman" w:hAnsi="Times New Roman"/>
                <w:b/>
                <w:color w:val="FFFFFF"/>
                <w:sz w:val="20"/>
              </w:rPr>
              <w:t>FCF Yield</w:t>
            </w:r>
          </w:p>
        </w:tc>
        <w:tc>
          <w:tcPr>
            <w:tcW w:type="dxa" w:w="1440"/>
          </w:tcPr>
          <w:p>
            <w:r/>
            <w:r>
              <w:rPr>
                <w:rFonts w:ascii="Times New Roman" w:hAnsi="Times New Roman"/>
                <w:b/>
                <w:color w:val="FFFFFF"/>
                <w:sz w:val="20"/>
              </w:rPr>
              <w:t>Rev Growth</w:t>
            </w:r>
          </w:p>
        </w:tc>
        <w:tc>
          <w:tcPr>
            <w:tcW w:type="dxa" w:w="1152"/>
          </w:tcPr>
          <w:p>
            <w:r/>
            <w:r>
              <w:rPr>
                <w:rFonts w:ascii="Times New Roman" w:hAnsi="Times New Roman"/>
                <w:b/>
                <w:color w:val="FFFFFF"/>
                <w:sz w:val="20"/>
              </w:rPr>
              <w:t>GM</w:t>
            </w:r>
          </w:p>
        </w:tc>
      </w:tr>
      <w:tr>
        <w:tc>
          <w:tcPr>
            <w:tcW w:type="dxa" w:w="1152"/>
          </w:tcPr>
          <w:p>
            <w:r/>
            <w:r>
              <w:rPr>
                <w:rFonts w:ascii="Times New Roman" w:hAnsi="Times New Roman"/>
                <w:sz w:val="20"/>
              </w:rPr>
              <w:t>NVDA</w:t>
            </w:r>
          </w:p>
        </w:tc>
        <w:tc>
          <w:tcPr>
            <w:tcW w:type="dxa" w:w="1584"/>
          </w:tcPr>
          <w:p>
            <w:r/>
            <w:r>
              <w:rPr>
                <w:rFonts w:ascii="Times New Roman" w:hAnsi="Times New Roman"/>
                <w:sz w:val="20"/>
              </w:rPr>
              <w:t>14.5×</w:t>
            </w:r>
          </w:p>
        </w:tc>
        <w:tc>
          <w:tcPr>
            <w:tcW w:type="dxa" w:w="1440"/>
          </w:tcPr>
          <w:p>
            <w:r/>
            <w:r>
              <w:rPr>
                <w:rFonts w:ascii="Times New Roman" w:hAnsi="Times New Roman"/>
                <w:sz w:val="20"/>
              </w:rPr>
              <w:t>12.8×</w:t>
            </w:r>
          </w:p>
        </w:tc>
        <w:tc>
          <w:tcPr>
            <w:tcW w:type="dxa" w:w="1440"/>
          </w:tcPr>
          <w:p>
            <w:r/>
            <w:r>
              <w:rPr>
                <w:rFonts w:ascii="Times New Roman" w:hAnsi="Times New Roman"/>
                <w:sz w:val="20"/>
              </w:rPr>
              <w:t>5.8%</w:t>
            </w:r>
          </w:p>
        </w:tc>
        <w:tc>
          <w:tcPr>
            <w:tcW w:type="dxa" w:w="1440"/>
          </w:tcPr>
          <w:p>
            <w:r/>
            <w:r>
              <w:rPr>
                <w:rFonts w:ascii="Times New Roman" w:hAnsi="Times New Roman"/>
                <w:sz w:val="20"/>
              </w:rPr>
              <w:t>+45%</w:t>
            </w:r>
          </w:p>
        </w:tc>
        <w:tc>
          <w:tcPr>
            <w:tcW w:type="dxa" w:w="1152"/>
          </w:tcPr>
          <w:p>
            <w:r/>
            <w:r>
              <w:rPr>
                <w:rFonts w:ascii="Times New Roman" w:hAnsi="Times New Roman"/>
                <w:sz w:val="20"/>
              </w:rPr>
              <w:t>75%</w:t>
            </w:r>
          </w:p>
        </w:tc>
      </w:tr>
      <w:tr>
        <w:tc>
          <w:tcPr>
            <w:tcW w:type="dxa" w:w="1152"/>
          </w:tcPr>
          <w:p>
            <w:r/>
            <w:r>
              <w:rPr>
                <w:rFonts w:ascii="Times New Roman" w:hAnsi="Times New Roman"/>
                <w:sz w:val="20"/>
              </w:rPr>
              <w:t>AAPL</w:t>
            </w:r>
          </w:p>
        </w:tc>
        <w:tc>
          <w:tcPr>
            <w:tcW w:type="dxa" w:w="1584"/>
          </w:tcPr>
          <w:p>
            <w:r/>
            <w:r>
              <w:rPr>
                <w:rFonts w:ascii="Times New Roman" w:hAnsi="Times New Roman"/>
                <w:sz w:val="20"/>
              </w:rPr>
              <w:t>29.0×</w:t>
            </w:r>
          </w:p>
        </w:tc>
        <w:tc>
          <w:tcPr>
            <w:tcW w:type="dxa" w:w="1440"/>
          </w:tcPr>
          <w:p>
            <w:r/>
            <w:r>
              <w:rPr>
                <w:rFonts w:ascii="Times New Roman" w:hAnsi="Times New Roman"/>
                <w:sz w:val="20"/>
              </w:rPr>
              <w:t>21.0×</w:t>
            </w:r>
          </w:p>
        </w:tc>
        <w:tc>
          <w:tcPr>
            <w:tcW w:type="dxa" w:w="1440"/>
          </w:tcPr>
          <w:p>
            <w:r/>
            <w:r>
              <w:rPr>
                <w:rFonts w:ascii="Times New Roman" w:hAnsi="Times New Roman"/>
                <w:sz w:val="20"/>
              </w:rPr>
              <w:t>3.2%</w:t>
            </w:r>
          </w:p>
        </w:tc>
        <w:tc>
          <w:tcPr>
            <w:tcW w:type="dxa" w:w="1440"/>
          </w:tcPr>
          <w:p>
            <w:r/>
            <w:r>
              <w:rPr>
                <w:rFonts w:ascii="Times New Roman" w:hAnsi="Times New Roman"/>
                <w:sz w:val="20"/>
              </w:rPr>
              <w:t>+6%</w:t>
            </w:r>
          </w:p>
        </w:tc>
        <w:tc>
          <w:tcPr>
            <w:tcW w:type="dxa" w:w="1152"/>
          </w:tcPr>
          <w:p>
            <w:r/>
            <w:r>
              <w:rPr>
                <w:rFonts w:ascii="Times New Roman" w:hAnsi="Times New Roman"/>
                <w:sz w:val="20"/>
              </w:rPr>
              <w:t>47%</w:t>
            </w:r>
          </w:p>
        </w:tc>
      </w:tr>
      <w:tr>
        <w:tc>
          <w:tcPr>
            <w:tcW w:type="dxa" w:w="1152"/>
          </w:tcPr>
          <w:p>
            <w:r/>
            <w:r>
              <w:rPr>
                <w:rFonts w:ascii="Times New Roman" w:hAnsi="Times New Roman"/>
                <w:sz w:val="20"/>
              </w:rPr>
              <w:t>MSFT</w:t>
            </w:r>
          </w:p>
        </w:tc>
        <w:tc>
          <w:tcPr>
            <w:tcW w:type="dxa" w:w="1584"/>
          </w:tcPr>
          <w:p>
            <w:r/>
            <w:r>
              <w:rPr>
                <w:rFonts w:ascii="Times New Roman" w:hAnsi="Times New Roman"/>
                <w:sz w:val="20"/>
              </w:rPr>
              <w:t>31.5×</w:t>
            </w:r>
          </w:p>
        </w:tc>
        <w:tc>
          <w:tcPr>
            <w:tcW w:type="dxa" w:w="1440"/>
          </w:tcPr>
          <w:p>
            <w:r/>
            <w:r>
              <w:rPr>
                <w:rFonts w:ascii="Times New Roman" w:hAnsi="Times New Roman"/>
                <w:sz w:val="20"/>
              </w:rPr>
              <w:t>21.5×</w:t>
            </w:r>
          </w:p>
        </w:tc>
        <w:tc>
          <w:tcPr>
            <w:tcW w:type="dxa" w:w="1440"/>
          </w:tcPr>
          <w:p>
            <w:r/>
            <w:r>
              <w:rPr>
                <w:rFonts w:ascii="Times New Roman" w:hAnsi="Times New Roman"/>
                <w:sz w:val="20"/>
              </w:rPr>
              <w:t>2.6%</w:t>
            </w:r>
          </w:p>
        </w:tc>
        <w:tc>
          <w:tcPr>
            <w:tcW w:type="dxa" w:w="1440"/>
          </w:tcPr>
          <w:p>
            <w:r/>
            <w:r>
              <w:rPr>
                <w:rFonts w:ascii="Times New Roman" w:hAnsi="Times New Roman"/>
                <w:sz w:val="20"/>
              </w:rPr>
              <w:t>+14%</w:t>
            </w:r>
          </w:p>
        </w:tc>
        <w:tc>
          <w:tcPr>
            <w:tcW w:type="dxa" w:w="1152"/>
          </w:tcPr>
          <w:p>
            <w:r/>
            <w:r>
              <w:rPr>
                <w:rFonts w:ascii="Times New Roman" w:hAnsi="Times New Roman"/>
                <w:sz w:val="20"/>
              </w:rPr>
              <w:t>70%</w:t>
            </w:r>
          </w:p>
        </w:tc>
      </w:tr>
      <w:tr>
        <w:tc>
          <w:tcPr>
            <w:tcW w:type="dxa" w:w="1152"/>
          </w:tcPr>
          <w:p>
            <w:r/>
            <w:r>
              <w:rPr>
                <w:rFonts w:ascii="Times New Roman" w:hAnsi="Times New Roman"/>
                <w:sz w:val="20"/>
              </w:rPr>
              <w:t>GOOGL</w:t>
            </w:r>
          </w:p>
        </w:tc>
        <w:tc>
          <w:tcPr>
            <w:tcW w:type="dxa" w:w="1584"/>
          </w:tcPr>
          <w:p>
            <w:r/>
            <w:r>
              <w:rPr>
                <w:rFonts w:ascii="Times New Roman" w:hAnsi="Times New Roman"/>
                <w:sz w:val="20"/>
              </w:rPr>
              <w:t>20.5×</w:t>
            </w:r>
          </w:p>
        </w:tc>
        <w:tc>
          <w:tcPr>
            <w:tcW w:type="dxa" w:w="1440"/>
          </w:tcPr>
          <w:p>
            <w:r/>
            <w:r>
              <w:rPr>
                <w:rFonts w:ascii="Times New Roman" w:hAnsi="Times New Roman"/>
                <w:sz w:val="20"/>
              </w:rPr>
              <w:t>13.2×</w:t>
            </w:r>
          </w:p>
        </w:tc>
        <w:tc>
          <w:tcPr>
            <w:tcW w:type="dxa" w:w="1440"/>
          </w:tcPr>
          <w:p>
            <w:r/>
            <w:r>
              <w:rPr>
                <w:rFonts w:ascii="Times New Roman" w:hAnsi="Times New Roman"/>
                <w:sz w:val="20"/>
              </w:rPr>
              <w:t>4.5%</w:t>
            </w:r>
          </w:p>
        </w:tc>
        <w:tc>
          <w:tcPr>
            <w:tcW w:type="dxa" w:w="1440"/>
          </w:tcPr>
          <w:p>
            <w:r/>
            <w:r>
              <w:rPr>
                <w:rFonts w:ascii="Times New Roman" w:hAnsi="Times New Roman"/>
                <w:sz w:val="20"/>
              </w:rPr>
              <w:t>+12%</w:t>
            </w:r>
          </w:p>
        </w:tc>
        <w:tc>
          <w:tcPr>
            <w:tcW w:type="dxa" w:w="1152"/>
          </w:tcPr>
          <w:p>
            <w:r/>
            <w:r>
              <w:rPr>
                <w:rFonts w:ascii="Times New Roman" w:hAnsi="Times New Roman"/>
                <w:sz w:val="20"/>
              </w:rPr>
              <w:t>59%</w:t>
            </w:r>
          </w:p>
        </w:tc>
      </w:tr>
      <w:tr>
        <w:tc>
          <w:tcPr>
            <w:tcW w:type="dxa" w:w="1152"/>
          </w:tcPr>
          <w:p>
            <w:r/>
            <w:r>
              <w:rPr>
                <w:rFonts w:ascii="Times New Roman" w:hAnsi="Times New Roman"/>
                <w:sz w:val="20"/>
              </w:rPr>
              <w:t>META</w:t>
            </w:r>
          </w:p>
        </w:tc>
        <w:tc>
          <w:tcPr>
            <w:tcW w:type="dxa" w:w="1584"/>
          </w:tcPr>
          <w:p>
            <w:r/>
            <w:r>
              <w:rPr>
                <w:rFonts w:ascii="Times New Roman" w:hAnsi="Times New Roman"/>
                <w:sz w:val="20"/>
              </w:rPr>
              <w:t>22.0×</w:t>
            </w:r>
          </w:p>
        </w:tc>
        <w:tc>
          <w:tcPr>
            <w:tcW w:type="dxa" w:w="1440"/>
          </w:tcPr>
          <w:p>
            <w:r/>
            <w:r>
              <w:rPr>
                <w:rFonts w:ascii="Times New Roman" w:hAnsi="Times New Roman"/>
                <w:sz w:val="20"/>
              </w:rPr>
              <w:t>12.5×</w:t>
            </w:r>
          </w:p>
        </w:tc>
        <w:tc>
          <w:tcPr>
            <w:tcW w:type="dxa" w:w="1440"/>
          </w:tcPr>
          <w:p>
            <w:r/>
            <w:r>
              <w:rPr>
                <w:rFonts w:ascii="Times New Roman" w:hAnsi="Times New Roman"/>
                <w:sz w:val="20"/>
              </w:rPr>
              <w:t>5.2%</w:t>
            </w:r>
          </w:p>
        </w:tc>
        <w:tc>
          <w:tcPr>
            <w:tcW w:type="dxa" w:w="1440"/>
          </w:tcPr>
          <w:p>
            <w:r/>
            <w:r>
              <w:rPr>
                <w:rFonts w:ascii="Times New Roman" w:hAnsi="Times New Roman"/>
                <w:sz w:val="20"/>
              </w:rPr>
              <w:t>+15%</w:t>
            </w:r>
          </w:p>
        </w:tc>
        <w:tc>
          <w:tcPr>
            <w:tcW w:type="dxa" w:w="1152"/>
          </w:tcPr>
          <w:p>
            <w:r/>
            <w:r>
              <w:rPr>
                <w:rFonts w:ascii="Times New Roman" w:hAnsi="Times New Roman"/>
                <w:sz w:val="20"/>
              </w:rPr>
              <w:t>82%</w:t>
            </w:r>
          </w:p>
        </w:tc>
      </w:tr>
      <w:tr>
        <w:tc>
          <w:tcPr>
            <w:tcW w:type="dxa" w:w="1152"/>
          </w:tcPr>
          <w:p>
            <w:r/>
            <w:r>
              <w:rPr>
                <w:rFonts w:ascii="Times New Roman" w:hAnsi="Times New Roman"/>
                <w:sz w:val="20"/>
              </w:rPr>
              <w:t>AMZN</w:t>
            </w:r>
          </w:p>
        </w:tc>
        <w:tc>
          <w:tcPr>
            <w:tcW w:type="dxa" w:w="1584"/>
          </w:tcPr>
          <w:p>
            <w:r/>
            <w:r>
              <w:rPr>
                <w:rFonts w:ascii="Times New Roman" w:hAnsi="Times New Roman"/>
                <w:sz w:val="20"/>
              </w:rPr>
              <w:t>32.0×</w:t>
            </w:r>
          </w:p>
        </w:tc>
        <w:tc>
          <w:tcPr>
            <w:tcW w:type="dxa" w:w="1440"/>
          </w:tcPr>
          <w:p>
            <w:r/>
            <w:r>
              <w:rPr>
                <w:rFonts w:ascii="Times New Roman" w:hAnsi="Times New Roman"/>
                <w:sz w:val="20"/>
              </w:rPr>
              <w:t>16.5×</w:t>
            </w:r>
          </w:p>
        </w:tc>
        <w:tc>
          <w:tcPr>
            <w:tcW w:type="dxa" w:w="1440"/>
          </w:tcPr>
          <w:p>
            <w:r/>
            <w:r>
              <w:rPr>
                <w:rFonts w:ascii="Times New Roman" w:hAnsi="Times New Roman"/>
                <w:sz w:val="20"/>
              </w:rPr>
              <w:t>2.8%</w:t>
            </w:r>
          </w:p>
        </w:tc>
        <w:tc>
          <w:tcPr>
            <w:tcW w:type="dxa" w:w="1440"/>
          </w:tcPr>
          <w:p>
            <w:r/>
            <w:r>
              <w:rPr>
                <w:rFonts w:ascii="Times New Roman" w:hAnsi="Times New Roman"/>
                <w:sz w:val="20"/>
              </w:rPr>
              <w:t>+11%</w:t>
            </w:r>
          </w:p>
        </w:tc>
        <w:tc>
          <w:tcPr>
            <w:tcW w:type="dxa" w:w="1152"/>
          </w:tcPr>
          <w:p>
            <w:r/>
            <w:r>
              <w:rPr>
                <w:rFonts w:ascii="Times New Roman" w:hAnsi="Times New Roman"/>
                <w:sz w:val="20"/>
              </w:rPr>
              <w:t>49%</w:t>
            </w:r>
          </w:p>
        </w:tc>
      </w:tr>
      <w:tr>
        <w:tc>
          <w:tcPr>
            <w:tcW w:type="dxa" w:w="1152"/>
          </w:tcPr>
          <w:p>
            <w:r/>
            <w:r>
              <w:rPr>
                <w:rFonts w:ascii="Times New Roman" w:hAnsi="Times New Roman"/>
                <w:sz w:val="20"/>
              </w:rPr>
              <w:t>AVGO</w:t>
            </w:r>
          </w:p>
        </w:tc>
        <w:tc>
          <w:tcPr>
            <w:tcW w:type="dxa" w:w="1584"/>
          </w:tcPr>
          <w:p>
            <w:r/>
            <w:r>
              <w:rPr>
                <w:rFonts w:ascii="Times New Roman" w:hAnsi="Times New Roman"/>
                <w:sz w:val="20"/>
              </w:rPr>
              <w:t>33.5×</w:t>
            </w:r>
          </w:p>
        </w:tc>
        <w:tc>
          <w:tcPr>
            <w:tcW w:type="dxa" w:w="1440"/>
          </w:tcPr>
          <w:p>
            <w:r/>
            <w:r>
              <w:rPr>
                <w:rFonts w:ascii="Times New Roman" w:hAnsi="Times New Roman"/>
                <w:sz w:val="20"/>
              </w:rPr>
              <w:t>26.0×</w:t>
            </w:r>
          </w:p>
        </w:tc>
        <w:tc>
          <w:tcPr>
            <w:tcW w:type="dxa" w:w="1440"/>
          </w:tcPr>
          <w:p>
            <w:r/>
            <w:r>
              <w:rPr>
                <w:rFonts w:ascii="Times New Roman" w:hAnsi="Times New Roman"/>
                <w:sz w:val="20"/>
              </w:rPr>
              <w:t>2.4%</w:t>
            </w:r>
          </w:p>
        </w:tc>
        <w:tc>
          <w:tcPr>
            <w:tcW w:type="dxa" w:w="1440"/>
          </w:tcPr>
          <w:p>
            <w:r/>
            <w:r>
              <w:rPr>
                <w:rFonts w:ascii="Times New Roman" w:hAnsi="Times New Roman"/>
                <w:sz w:val="20"/>
              </w:rPr>
              <w:t>+22%</w:t>
            </w:r>
          </w:p>
        </w:tc>
        <w:tc>
          <w:tcPr>
            <w:tcW w:type="dxa" w:w="1152"/>
          </w:tcPr>
          <w:p>
            <w:r/>
            <w:r>
              <w:rPr>
                <w:rFonts w:ascii="Times New Roman" w:hAnsi="Times New Roman"/>
                <w:sz w:val="20"/>
              </w:rPr>
              <w:t>76%</w:t>
            </w:r>
          </w:p>
        </w:tc>
      </w:tr>
    </w:tbl>
    <w:p>
      <w:r>
        <w:rPr>
          <w:rFonts w:ascii="Times New Roman" w:hAnsi="Times New Roman"/>
          <w:b w:val="0"/>
          <w:i w:val="0"/>
          <w:sz w:val="22"/>
        </w:rPr>
      </w:r>
    </w:p>
    <w:p>
      <w:r>
        <w:rPr>
          <w:rFonts w:ascii="Times New Roman" w:hAnsi="Times New Roman"/>
          <w:b w:val="0"/>
          <w:i/>
          <w:sz w:val="18"/>
        </w:rPr>
        <w:t>Source: FactSet consensus estimates, May 21, 2026; FY28E P/E used for NVDA, CY27E for peers. NVDA trades at the lowest forward P/E among AI mega-caps despite the highest growth and margins — a function of the market discounting cycle duration, not unit economics.</w:t>
      </w:r>
    </w:p>
    <w:p>
      <w:r>
        <w:br w:type="page"/>
      </w:r>
    </w:p>
    <w:p>
      <w:r>
        <w:rPr>
          <w:rFonts w:ascii="Times New Roman" w:hAnsi="Times New Roman"/>
          <w:b/>
          <w:sz w:val="28"/>
        </w:rPr>
        <w:t>Management Commentary Highlights</w:t>
      </w:r>
    </w:p>
    <w:p>
      <w:r>
        <w:rPr>
          <w:rFonts w:ascii="Times New Roman" w:hAnsi="Times New Roman"/>
          <w:b/>
          <w:sz w:val="24"/>
        </w:rPr>
        <w:t>Jensen Huang, CEO</w:t>
      </w:r>
    </w:p>
    <w:p>
      <w:r>
        <w:rPr>
          <w:rFonts w:ascii="Times New Roman" w:hAnsi="Times New Roman"/>
          <w:b w:val="0"/>
          <w:i/>
          <w:sz w:val="22"/>
        </w:rPr>
        <w:t>"Demand has gone parabolic. The reason is simple: Agentic AI has arrived. Compute capacity is profits — every enterprise that runs an agent runs it on accelerated compute, and every dollar of agent revenue requires inference compute. The buildout of AI factories — the largest infrastructure expansion in human history — is accelerating at extraordinary speed."</w:t>
      </w:r>
    </w:p>
    <w:p>
      <w:r>
        <w:rPr>
          <w:rFonts w:ascii="Times New Roman" w:hAnsi="Times New Roman"/>
          <w:b/>
          <w:i w:val="0"/>
          <w:sz w:val="22"/>
        </w:rPr>
        <w:t xml:space="preserve">Our read: </w:t>
      </w:r>
    </w:p>
    <w:p>
      <w:r>
        <w:rPr>
          <w:rFonts w:ascii="Times New Roman" w:hAnsi="Times New Roman"/>
          <w:b w:val="0"/>
          <w:i w:val="0"/>
          <w:sz w:val="22"/>
        </w:rPr>
        <w:t>Huang continues to anchor the narrative on 'Agentic AI' rather than 'training' as the primary driver. This is the right framing — agent inference is recurring and compute-intensive, in contrast to training, which is episodic. The 'compute = profits' framing is a CFO-friendly reframe that will accompany next quarter's enterprise messaging.</w:t>
      </w:r>
    </w:p>
    <w:p>
      <w:r>
        <w:rPr>
          <w:rFonts w:ascii="Times New Roman" w:hAnsi="Times New Roman"/>
          <w:b/>
          <w:sz w:val="24"/>
        </w:rPr>
        <w:t>Colette Kress, CFO</w:t>
      </w:r>
    </w:p>
    <w:p>
      <w:r>
        <w:rPr>
          <w:rFonts w:ascii="Times New Roman" w:hAnsi="Times New Roman"/>
          <w:b w:val="0"/>
          <w:i/>
          <w:sz w:val="22"/>
        </w:rPr>
        <w:t>"In Q2, we expect Data Center to remain the primary growth engine, with networking growth continuing to outpace compute as our customers transition to GB300 NVL72 and the upcoming Rubin platform. We are not assuming any Data Center compute revenue from China in our outlook."</w:t>
      </w:r>
    </w:p>
    <w:p>
      <w:r>
        <w:rPr>
          <w:rFonts w:ascii="Times New Roman" w:hAnsi="Times New Roman"/>
          <w:b/>
          <w:i w:val="0"/>
          <w:sz w:val="22"/>
        </w:rPr>
        <w:t xml:space="preserve">Our read: </w:t>
      </w:r>
    </w:p>
    <w:p>
      <w:r>
        <w:rPr>
          <w:rFonts w:ascii="Times New Roman" w:hAnsi="Times New Roman"/>
          <w:b w:val="0"/>
          <w:i w:val="0"/>
          <w:sz w:val="22"/>
        </w:rPr>
        <w:t>The explicit zero-China assumption is conservative messaging that creates upside optionality. CFO commentary on networking-faster-than-compute is the new data point — this signals further mix-shift toward rack-scale and away from individual GPU sales, which should support GM into early FY28.</w:t>
      </w:r>
    </w:p>
    <w:p>
      <w:r>
        <w:rPr>
          <w:rFonts w:ascii="Times New Roman" w:hAnsi="Times New Roman"/>
          <w:b/>
          <w:sz w:val="24"/>
        </w:rPr>
        <w:t>Q&amp;A: Notable Exchanges</w:t>
      </w:r>
    </w:p>
    <w:p>
      <w:pPr>
        <w:pStyle w:val="ListBullet"/>
      </w:pPr>
      <w:r>
        <w:rPr>
          <w:rFonts w:ascii="Times New Roman" w:hAnsi="Times New Roman"/>
          <w:b/>
          <w:sz w:val="22"/>
        </w:rPr>
        <w:t xml:space="preserve">Rubin sampling timeline (Kress, in response to Morgan Stanley's Joe Moore): </w:t>
      </w:r>
      <w:r>
        <w:rPr>
          <w:rFonts w:ascii="Times New Roman" w:hAnsi="Times New Roman"/>
          <w:sz w:val="22"/>
        </w:rPr>
        <w:t xml:space="preserve"> 'Q3 will see Rubin engineering samples ship; CSP customers have already prepaid for the first 100k units. Production ramp is on schedule for late FY27.' Implication: Rubin pre-orders are real.</w:t>
      </w:r>
    </w:p>
    <w:p>
      <w:pPr>
        <w:pStyle w:val="ListBullet"/>
      </w:pPr>
      <w:r>
        <w:rPr>
          <w:rFonts w:ascii="Times New Roman" w:hAnsi="Times New Roman"/>
          <w:b/>
          <w:sz w:val="22"/>
        </w:rPr>
        <w:t xml:space="preserve">Sovereign AI pipeline (Huang, in response to BofA's Vivek Arya): </w:t>
      </w:r>
      <w:r>
        <w:rPr>
          <w:rFonts w:ascii="Times New Roman" w:hAnsi="Times New Roman"/>
          <w:sz w:val="22"/>
        </w:rPr>
        <w:t xml:space="preserve"> 'We have line-of-sight to over $4 trillion of AI infrastructure spend over the next decade. We're at year three of a ten-year cycle.' Implication: management still anchoring to a multi-year view, not a peak.</w:t>
      </w:r>
    </w:p>
    <w:p>
      <w:pPr>
        <w:pStyle w:val="ListBullet"/>
      </w:pPr>
      <w:r>
        <w:rPr>
          <w:rFonts w:ascii="Times New Roman" w:hAnsi="Times New Roman"/>
          <w:b/>
          <w:sz w:val="22"/>
        </w:rPr>
        <w:t xml:space="preserve">HBM supply (Kress, in response to Goldman's Toshiya Hari): </w:t>
      </w:r>
      <w:r>
        <w:rPr>
          <w:rFonts w:ascii="Times New Roman" w:hAnsi="Times New Roman"/>
          <w:sz w:val="22"/>
        </w:rPr>
        <w:t xml:space="preserve"> 'HBM is tight. We have multi-year LTAs with three suppliers. We do not see HBM as a binding constraint in FY27, but FY28 requires successful HBM4 ramp.' Implication: HBM4 = key risk for FY28 numbers.</w:t>
      </w:r>
    </w:p>
    <w:p>
      <w:r>
        <w:br w:type="page"/>
      </w:r>
    </w:p>
    <w:p>
      <w:r>
        <w:rPr>
          <w:rFonts w:ascii="Times New Roman" w:hAnsi="Times New Roman"/>
          <w:b/>
          <w:sz w:val="28"/>
        </w:rPr>
        <w:t>Risks &amp; Forward Catalysts</w:t>
      </w:r>
    </w:p>
    <w:p>
      <w:r>
        <w:rPr>
          <w:rFonts w:ascii="Times New Roman" w:hAnsi="Times New Roman"/>
          <w:b/>
          <w:sz w:val="24"/>
        </w:rPr>
        <w:t>Key Risks</w:t>
      </w:r>
    </w:p>
    <w:p>
      <w:pPr>
        <w:pStyle w:val="ListBullet"/>
      </w:pPr>
      <w:r>
        <w:rPr>
          <w:rFonts w:ascii="Times New Roman" w:hAnsi="Times New Roman"/>
          <w:b/>
          <w:sz w:val="22"/>
        </w:rPr>
        <w:t xml:space="preserve">Hyperscaler capex pause. </w:t>
      </w:r>
      <w:r>
        <w:rPr>
          <w:rFonts w:ascii="Times New Roman" w:hAnsi="Times New Roman"/>
          <w:sz w:val="22"/>
        </w:rPr>
        <w:t xml:space="preserve"> If 1-2 of the 5 hyperscalers pause/digest in late FY27 (precedent: MSFT Athena delay in 2024), we estimate a 10-15% revenue impact and 200 bps GM compression. Probability: medium (30-40%) at some point in next 18 months; severity: contained if isolated to one customer.</w:t>
      </w:r>
    </w:p>
    <w:p>
      <w:pPr>
        <w:pStyle w:val="ListBullet"/>
      </w:pPr>
      <w:r>
        <w:rPr>
          <w:rFonts w:ascii="Times New Roman" w:hAnsi="Times New Roman"/>
          <w:b/>
          <w:sz w:val="22"/>
        </w:rPr>
        <w:t xml:space="preserve">China policy escalation. </w:t>
      </w:r>
      <w:r>
        <w:rPr>
          <w:rFonts w:ascii="Times New Roman" w:hAnsi="Times New Roman"/>
          <w:sz w:val="22"/>
        </w:rPr>
        <w:t xml:space="preserve"> Indefinite H200 license denial = $20-25B annualized revenue locked out. Probability of permanent denial: low (20%); probability of indefinite limbo: medium (50%); probability of full release: low-medium (30%).</w:t>
      </w:r>
    </w:p>
    <w:p>
      <w:pPr>
        <w:pStyle w:val="ListBullet"/>
      </w:pPr>
      <w:r>
        <w:rPr>
          <w:rFonts w:ascii="Times New Roman" w:hAnsi="Times New Roman"/>
          <w:b/>
          <w:sz w:val="22"/>
        </w:rPr>
        <w:t xml:space="preserve">HBM4 yield slip. </w:t>
      </w:r>
      <w:r>
        <w:rPr>
          <w:rFonts w:ascii="Times New Roman" w:hAnsi="Times New Roman"/>
          <w:sz w:val="22"/>
        </w:rPr>
        <w:t xml:space="preserve"> HBM4 (SK Hynix, Samsung, Micron) ramp slipping 1-2 quarters would force NVDA to ship Rubin into mixed inventory, compressing GM ~100-150 bps. Probability: medium (35%).</w:t>
      </w:r>
    </w:p>
    <w:p>
      <w:pPr>
        <w:pStyle w:val="ListBullet"/>
      </w:pPr>
      <w:r>
        <w:rPr>
          <w:rFonts w:ascii="Times New Roman" w:hAnsi="Times New Roman"/>
          <w:b/>
          <w:sz w:val="22"/>
        </w:rPr>
        <w:t xml:space="preserve">ASIC competition. </w:t>
      </w:r>
      <w:r>
        <w:rPr>
          <w:rFonts w:ascii="Times New Roman" w:hAnsi="Times New Roman"/>
          <w:sz w:val="22"/>
        </w:rPr>
        <w:t xml:space="preserve"> If AMD MI400 (FY28 launch) or hyperscaler in-house silicon (AWS Trainium 3, MSFT Cobalt 200) gains real workload share, NVDA's pricing power on inference erodes. Probability of material share loss by FY29: low-medium (25%).</w:t>
      </w:r>
    </w:p>
    <w:p>
      <w:r>
        <w:rPr>
          <w:rFonts w:ascii="Times New Roman" w:hAnsi="Times New Roman"/>
          <w:b/>
          <w:sz w:val="24"/>
        </w:rPr>
        <w:t>Forward Catalysts (Next 6 Months)</w:t>
      </w:r>
    </w:p>
    <w:p>
      <w:pPr>
        <w:pStyle w:val="ListBullet"/>
      </w:pPr>
      <w:r>
        <w:rPr>
          <w:rFonts w:ascii="Times New Roman" w:hAnsi="Times New Roman"/>
          <w:b/>
          <w:sz w:val="22"/>
        </w:rPr>
        <w:t xml:space="preserve">GTC 2026 (June 17-21). </w:t>
      </w:r>
      <w:r>
        <w:rPr>
          <w:rFonts w:ascii="Times New Roman" w:hAnsi="Times New Roman"/>
          <w:sz w:val="22"/>
        </w:rPr>
        <w:t xml:space="preserve"> Jensen keynote expected to detail Rubin specs, Vera Rubin Ultra timeline, and the new DGX Cloud SKU. Stock historically averages +3% on GTC weeks.</w:t>
      </w:r>
    </w:p>
    <w:p>
      <w:pPr>
        <w:pStyle w:val="ListBullet"/>
      </w:pPr>
      <w:r>
        <w:rPr>
          <w:rFonts w:ascii="Times New Roman" w:hAnsi="Times New Roman"/>
          <w:b/>
          <w:sz w:val="22"/>
        </w:rPr>
        <w:t xml:space="preserve">China review (July). </w:t>
      </w:r>
      <w:r>
        <w:rPr>
          <w:rFonts w:ascii="Times New Roman" w:hAnsi="Times New Roman"/>
          <w:sz w:val="22"/>
        </w:rPr>
        <w:t xml:space="preserve"> Pelosi/Trump China policy review window. Any signal on H200 licensing — positive or negative — is binary for the bull case.</w:t>
      </w:r>
    </w:p>
    <w:p>
      <w:pPr>
        <w:pStyle w:val="ListBullet"/>
      </w:pPr>
      <w:r>
        <w:rPr>
          <w:rFonts w:ascii="Times New Roman" w:hAnsi="Times New Roman"/>
          <w:b/>
          <w:sz w:val="22"/>
        </w:rPr>
        <w:t xml:space="preserve">Q2 FY27 earnings (late August). </w:t>
      </w:r>
      <w:r>
        <w:rPr>
          <w:rFonts w:ascii="Times New Roman" w:hAnsi="Times New Roman"/>
          <w:sz w:val="22"/>
        </w:rPr>
        <w:t xml:space="preserve"> Will print on schedule (Aug 27); first chance to validate or invalidate the $91B guide. Buy-side whisper already $94-96B.</w:t>
      </w:r>
    </w:p>
    <w:p>
      <w:pPr>
        <w:pStyle w:val="ListBullet"/>
      </w:pPr>
      <w:r>
        <w:rPr>
          <w:rFonts w:ascii="Times New Roman" w:hAnsi="Times New Roman"/>
          <w:b/>
          <w:sz w:val="22"/>
        </w:rPr>
        <w:t xml:space="preserve">Macro: September FOMC. </w:t>
      </w:r>
      <w:r>
        <w:rPr>
          <w:rFonts w:ascii="Times New Roman" w:hAnsi="Times New Roman"/>
          <w:sz w:val="22"/>
        </w:rPr>
        <w:t xml:space="preserve"> Inflation print + Fed reaction function. Lower rates support multiple expansion on growth assets; NVDA beta to TLT ~-0.6 over LTM.</w:t>
      </w:r>
    </w:p>
    <w:p>
      <w:r>
        <w:br w:type="page"/>
      </w:r>
    </w:p>
    <w:p>
      <w:r>
        <w:rPr>
          <w:rFonts w:ascii="Times New Roman" w:hAnsi="Times New Roman"/>
          <w:b/>
          <w:sz w:val="28"/>
        </w:rPr>
        <w:t>Appendix: Model Assumptions</w:t>
      </w:r>
    </w:p>
    <w:p>
      <w:r>
        <w:rPr>
          <w:rFonts w:ascii="Times New Roman" w:hAnsi="Times New Roman"/>
          <w:b/>
          <w:i/>
          <w:sz w:val="22"/>
        </w:rPr>
        <w:t>Summary Table 3a. Key Modeling Assumptions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2448"/>
          </w:tcPr>
          <w:p>
            <w:r/>
            <w:r>
              <w:rPr>
                <w:rFonts w:ascii="Times New Roman" w:hAnsi="Times New Roman"/>
                <w:b/>
                <w:color w:val="FFFFFF"/>
                <w:sz w:val="20"/>
              </w:rPr>
              <w:t>Driver</w:t>
            </w:r>
          </w:p>
        </w:tc>
        <w:tc>
          <w:tcPr>
            <w:tcW w:type="dxa" w:w="1008"/>
          </w:tcPr>
          <w:p>
            <w:r/>
            <w:r>
              <w:rPr>
                <w:rFonts w:ascii="Times New Roman" w:hAnsi="Times New Roman"/>
                <w:b/>
                <w:color w:val="FFFFFF"/>
                <w:sz w:val="20"/>
              </w:rPr>
              <w:t>FY27E</w:t>
            </w:r>
          </w:p>
        </w:tc>
        <w:tc>
          <w:tcPr>
            <w:tcW w:type="dxa" w:w="1008"/>
          </w:tcPr>
          <w:p>
            <w:r/>
            <w:r>
              <w:rPr>
                <w:rFonts w:ascii="Times New Roman" w:hAnsi="Times New Roman"/>
                <w:b/>
                <w:color w:val="FFFFFF"/>
                <w:sz w:val="20"/>
              </w:rPr>
              <w:t>FY28E</w:t>
            </w:r>
          </w:p>
        </w:tc>
        <w:tc>
          <w:tcPr>
            <w:tcW w:type="dxa" w:w="1008"/>
          </w:tcPr>
          <w:p>
            <w:r/>
            <w:r>
              <w:rPr>
                <w:rFonts w:ascii="Times New Roman" w:hAnsi="Times New Roman"/>
                <w:b/>
                <w:color w:val="FFFFFF"/>
                <w:sz w:val="20"/>
              </w:rPr>
              <w:t>FY29E</w:t>
            </w:r>
          </w:p>
        </w:tc>
        <w:tc>
          <w:tcPr>
            <w:tcW w:type="dxa" w:w="3600"/>
          </w:tcPr>
          <w:p>
            <w:r/>
            <w:r>
              <w:rPr>
                <w:rFonts w:ascii="Times New Roman" w:hAnsi="Times New Roman"/>
                <w:b/>
                <w:color w:val="FFFFFF"/>
                <w:sz w:val="20"/>
              </w:rPr>
              <w:t>Notes</w:t>
            </w:r>
          </w:p>
        </w:tc>
      </w:tr>
      <w:tr>
        <w:tc>
          <w:tcPr>
            <w:tcW w:type="dxa" w:w="2448"/>
          </w:tcPr>
          <w:p>
            <w:r/>
            <w:r>
              <w:rPr>
                <w:rFonts w:ascii="Times New Roman" w:hAnsi="Times New Roman"/>
                <w:sz w:val="20"/>
              </w:rPr>
              <w:t>Data Center Revenue Growth</w:t>
            </w:r>
          </w:p>
        </w:tc>
        <w:tc>
          <w:tcPr>
            <w:tcW w:type="dxa" w:w="1008"/>
          </w:tcPr>
          <w:p>
            <w:r/>
            <w:r>
              <w:rPr>
                <w:rFonts w:ascii="Times New Roman" w:hAnsi="Times New Roman"/>
                <w:sz w:val="20"/>
              </w:rPr>
              <w:t>+95%</w:t>
            </w:r>
          </w:p>
        </w:tc>
        <w:tc>
          <w:tcPr>
            <w:tcW w:type="dxa" w:w="1008"/>
          </w:tcPr>
          <w:p>
            <w:r/>
            <w:r>
              <w:rPr>
                <w:rFonts w:ascii="Times New Roman" w:hAnsi="Times New Roman"/>
                <w:sz w:val="20"/>
              </w:rPr>
              <w:t>+23%</w:t>
            </w:r>
          </w:p>
        </w:tc>
        <w:tc>
          <w:tcPr>
            <w:tcW w:type="dxa" w:w="1008"/>
          </w:tcPr>
          <w:p>
            <w:r/>
            <w:r>
              <w:rPr>
                <w:rFonts w:ascii="Times New Roman" w:hAnsi="Times New Roman"/>
                <w:sz w:val="20"/>
              </w:rPr>
              <w:t>+12%</w:t>
            </w:r>
          </w:p>
        </w:tc>
        <w:tc>
          <w:tcPr>
            <w:tcW w:type="dxa" w:w="3600"/>
          </w:tcPr>
          <w:p>
            <w:r/>
            <w:r>
              <w:rPr>
                <w:rFonts w:ascii="Times New Roman" w:hAnsi="Times New Roman"/>
                <w:sz w:val="20"/>
              </w:rPr>
              <w:t>Decelerating from peak</w:t>
            </w:r>
          </w:p>
        </w:tc>
      </w:tr>
      <w:tr>
        <w:tc>
          <w:tcPr>
            <w:tcW w:type="dxa" w:w="2448"/>
          </w:tcPr>
          <w:p>
            <w:r/>
            <w:r>
              <w:rPr>
                <w:rFonts w:ascii="Times New Roman" w:hAnsi="Times New Roman"/>
                <w:sz w:val="20"/>
              </w:rPr>
              <w:t>Edge Computing Growth</w:t>
            </w:r>
          </w:p>
        </w:tc>
        <w:tc>
          <w:tcPr>
            <w:tcW w:type="dxa" w:w="1008"/>
          </w:tcPr>
          <w:p>
            <w:r/>
            <w:r>
              <w:rPr>
                <w:rFonts w:ascii="Times New Roman" w:hAnsi="Times New Roman"/>
                <w:sz w:val="20"/>
              </w:rPr>
              <w:t>+25%</w:t>
            </w:r>
          </w:p>
        </w:tc>
        <w:tc>
          <w:tcPr>
            <w:tcW w:type="dxa" w:w="1008"/>
          </w:tcPr>
          <w:p>
            <w:r/>
            <w:r>
              <w:rPr>
                <w:rFonts w:ascii="Times New Roman" w:hAnsi="Times New Roman"/>
                <w:sz w:val="20"/>
              </w:rPr>
              <w:t>+18%</w:t>
            </w:r>
          </w:p>
        </w:tc>
        <w:tc>
          <w:tcPr>
            <w:tcW w:type="dxa" w:w="1008"/>
          </w:tcPr>
          <w:p>
            <w:r/>
            <w:r>
              <w:rPr>
                <w:rFonts w:ascii="Times New Roman" w:hAnsi="Times New Roman"/>
                <w:sz w:val="20"/>
              </w:rPr>
              <w:t>+12%</w:t>
            </w:r>
          </w:p>
        </w:tc>
        <w:tc>
          <w:tcPr>
            <w:tcW w:type="dxa" w:w="3600"/>
          </w:tcPr>
          <w:p>
            <w:r/>
            <w:r>
              <w:rPr>
                <w:rFonts w:ascii="Times New Roman" w:hAnsi="Times New Roman"/>
                <w:sz w:val="20"/>
              </w:rPr>
              <w:t>Gaming + Auto + ProViz combined</w:t>
            </w:r>
          </w:p>
        </w:tc>
      </w:tr>
      <w:tr>
        <w:tc>
          <w:tcPr>
            <w:tcW w:type="dxa" w:w="2448"/>
          </w:tcPr>
          <w:p>
            <w:r/>
            <w:r>
              <w:rPr>
                <w:rFonts w:ascii="Times New Roman" w:hAnsi="Times New Roman"/>
                <w:sz w:val="20"/>
              </w:rPr>
              <w:t>Non-GAAP Gross Margin</w:t>
            </w:r>
          </w:p>
        </w:tc>
        <w:tc>
          <w:tcPr>
            <w:tcW w:type="dxa" w:w="1008"/>
          </w:tcPr>
          <w:p>
            <w:r/>
            <w:r>
              <w:rPr>
                <w:rFonts w:ascii="Times New Roman" w:hAnsi="Times New Roman"/>
                <w:sz w:val="20"/>
              </w:rPr>
              <w:t>74.8%</w:t>
            </w:r>
          </w:p>
        </w:tc>
        <w:tc>
          <w:tcPr>
            <w:tcW w:type="dxa" w:w="1008"/>
          </w:tcPr>
          <w:p>
            <w:r/>
            <w:r>
              <w:rPr>
                <w:rFonts w:ascii="Times New Roman" w:hAnsi="Times New Roman"/>
                <w:sz w:val="20"/>
              </w:rPr>
              <w:t>74.0%</w:t>
            </w:r>
          </w:p>
        </w:tc>
        <w:tc>
          <w:tcPr>
            <w:tcW w:type="dxa" w:w="1008"/>
          </w:tcPr>
          <w:p>
            <w:r/>
            <w:r>
              <w:rPr>
                <w:rFonts w:ascii="Times New Roman" w:hAnsi="Times New Roman"/>
                <w:sz w:val="20"/>
              </w:rPr>
              <w:t>72.5%</w:t>
            </w:r>
          </w:p>
        </w:tc>
        <w:tc>
          <w:tcPr>
            <w:tcW w:type="dxa" w:w="3600"/>
          </w:tcPr>
          <w:p>
            <w:r/>
            <w:r>
              <w:rPr>
                <w:rFonts w:ascii="Times New Roman" w:hAnsi="Times New Roman"/>
                <w:sz w:val="20"/>
              </w:rPr>
              <w:t>Rubin transition drag in FY29</w:t>
            </w:r>
          </w:p>
        </w:tc>
      </w:tr>
      <w:tr>
        <w:tc>
          <w:tcPr>
            <w:tcW w:type="dxa" w:w="2448"/>
          </w:tcPr>
          <w:p>
            <w:r/>
            <w:r>
              <w:rPr>
                <w:rFonts w:ascii="Times New Roman" w:hAnsi="Times New Roman"/>
                <w:sz w:val="20"/>
              </w:rPr>
              <w:t>Opex Growth (Non-GAAP)</w:t>
            </w:r>
          </w:p>
        </w:tc>
        <w:tc>
          <w:tcPr>
            <w:tcW w:type="dxa" w:w="1008"/>
          </w:tcPr>
          <w:p>
            <w:r/>
            <w:r>
              <w:rPr>
                <w:rFonts w:ascii="Times New Roman" w:hAnsi="Times New Roman"/>
                <w:sz w:val="20"/>
              </w:rPr>
              <w:t>+28%</w:t>
            </w:r>
          </w:p>
        </w:tc>
        <w:tc>
          <w:tcPr>
            <w:tcW w:type="dxa" w:w="1008"/>
          </w:tcPr>
          <w:p>
            <w:r/>
            <w:r>
              <w:rPr>
                <w:rFonts w:ascii="Times New Roman" w:hAnsi="Times New Roman"/>
                <w:sz w:val="20"/>
              </w:rPr>
              <w:t>+22%</w:t>
            </w:r>
          </w:p>
        </w:tc>
        <w:tc>
          <w:tcPr>
            <w:tcW w:type="dxa" w:w="1008"/>
          </w:tcPr>
          <w:p>
            <w:r/>
            <w:r>
              <w:rPr>
                <w:rFonts w:ascii="Times New Roman" w:hAnsi="Times New Roman"/>
                <w:sz w:val="20"/>
              </w:rPr>
              <w:t>+18%</w:t>
            </w:r>
          </w:p>
        </w:tc>
        <w:tc>
          <w:tcPr>
            <w:tcW w:type="dxa" w:w="3600"/>
          </w:tcPr>
          <w:p>
            <w:r/>
            <w:r>
              <w:rPr>
                <w:rFonts w:ascii="Times New Roman" w:hAnsi="Times New Roman"/>
                <w:sz w:val="20"/>
              </w:rPr>
              <w:t>R&amp;D outpacing SG&amp;A</w:t>
            </w:r>
          </w:p>
        </w:tc>
      </w:tr>
      <w:tr>
        <w:tc>
          <w:tcPr>
            <w:tcW w:type="dxa" w:w="2448"/>
          </w:tcPr>
          <w:p>
            <w:r/>
            <w:r>
              <w:rPr>
                <w:rFonts w:ascii="Times New Roman" w:hAnsi="Times New Roman"/>
                <w:sz w:val="20"/>
              </w:rPr>
              <w:t>Effective Tax Rate</w:t>
            </w:r>
          </w:p>
        </w:tc>
        <w:tc>
          <w:tcPr>
            <w:tcW w:type="dxa" w:w="1008"/>
          </w:tcPr>
          <w:p>
            <w:r/>
            <w:r>
              <w:rPr>
                <w:rFonts w:ascii="Times New Roman" w:hAnsi="Times New Roman"/>
                <w:sz w:val="20"/>
              </w:rPr>
              <w:t>16.5%</w:t>
            </w:r>
          </w:p>
        </w:tc>
        <w:tc>
          <w:tcPr>
            <w:tcW w:type="dxa" w:w="1008"/>
          </w:tcPr>
          <w:p>
            <w:r/>
            <w:r>
              <w:rPr>
                <w:rFonts w:ascii="Times New Roman" w:hAnsi="Times New Roman"/>
                <w:sz w:val="20"/>
              </w:rPr>
              <w:t>17.0%</w:t>
            </w:r>
          </w:p>
        </w:tc>
        <w:tc>
          <w:tcPr>
            <w:tcW w:type="dxa" w:w="1008"/>
          </w:tcPr>
          <w:p>
            <w:r/>
            <w:r>
              <w:rPr>
                <w:rFonts w:ascii="Times New Roman" w:hAnsi="Times New Roman"/>
                <w:sz w:val="20"/>
              </w:rPr>
              <w:t>17.5%</w:t>
            </w:r>
          </w:p>
        </w:tc>
        <w:tc>
          <w:tcPr>
            <w:tcW w:type="dxa" w:w="3600"/>
          </w:tcPr>
          <w:p>
            <w:r/>
            <w:r>
              <w:rPr>
                <w:rFonts w:ascii="Times New Roman" w:hAnsi="Times New Roman"/>
                <w:sz w:val="20"/>
              </w:rPr>
              <w:t>OECD Pillar Two phase-in</w:t>
            </w:r>
          </w:p>
        </w:tc>
      </w:tr>
      <w:tr>
        <w:tc>
          <w:tcPr>
            <w:tcW w:type="dxa" w:w="2448"/>
          </w:tcPr>
          <w:p>
            <w:r/>
            <w:r>
              <w:rPr>
                <w:rFonts w:ascii="Times New Roman" w:hAnsi="Times New Roman"/>
                <w:sz w:val="20"/>
              </w:rPr>
              <w:t>Buyback ($B/yr)</w:t>
            </w:r>
          </w:p>
        </w:tc>
        <w:tc>
          <w:tcPr>
            <w:tcW w:type="dxa" w:w="1008"/>
          </w:tcPr>
          <w:p>
            <w:r/>
            <w:r>
              <w:rPr>
                <w:rFonts w:ascii="Times New Roman" w:hAnsi="Times New Roman"/>
                <w:sz w:val="20"/>
              </w:rPr>
              <w:t>75</w:t>
            </w:r>
          </w:p>
        </w:tc>
        <w:tc>
          <w:tcPr>
            <w:tcW w:type="dxa" w:w="1008"/>
          </w:tcPr>
          <w:p>
            <w:r/>
            <w:r>
              <w:rPr>
                <w:rFonts w:ascii="Times New Roman" w:hAnsi="Times New Roman"/>
                <w:sz w:val="20"/>
              </w:rPr>
              <w:t>65</w:t>
            </w:r>
          </w:p>
        </w:tc>
        <w:tc>
          <w:tcPr>
            <w:tcW w:type="dxa" w:w="1008"/>
          </w:tcPr>
          <w:p>
            <w:r/>
            <w:r>
              <w:rPr>
                <w:rFonts w:ascii="Times New Roman" w:hAnsi="Times New Roman"/>
                <w:sz w:val="20"/>
              </w:rPr>
              <w:t>55</w:t>
            </w:r>
          </w:p>
        </w:tc>
        <w:tc>
          <w:tcPr>
            <w:tcW w:type="dxa" w:w="3600"/>
          </w:tcPr>
          <w:p>
            <w:r/>
            <w:r>
              <w:rPr>
                <w:rFonts w:ascii="Times New Roman" w:hAnsi="Times New Roman"/>
                <w:sz w:val="20"/>
              </w:rPr>
              <w:t>Per new $80B authorization</w:t>
            </w:r>
          </w:p>
        </w:tc>
      </w:tr>
      <w:tr>
        <w:tc>
          <w:tcPr>
            <w:tcW w:type="dxa" w:w="2448"/>
          </w:tcPr>
          <w:p>
            <w:r/>
            <w:r>
              <w:rPr>
                <w:rFonts w:ascii="Times New Roman" w:hAnsi="Times New Roman"/>
                <w:sz w:val="20"/>
              </w:rPr>
              <w:t>Diluted Share Count (B)</w:t>
            </w:r>
          </w:p>
        </w:tc>
        <w:tc>
          <w:tcPr>
            <w:tcW w:type="dxa" w:w="1008"/>
          </w:tcPr>
          <w:p>
            <w:r/>
            <w:r>
              <w:rPr>
                <w:rFonts w:ascii="Times New Roman" w:hAnsi="Times New Roman"/>
                <w:sz w:val="20"/>
              </w:rPr>
              <w:t>24.0</w:t>
            </w:r>
          </w:p>
        </w:tc>
        <w:tc>
          <w:tcPr>
            <w:tcW w:type="dxa" w:w="1008"/>
          </w:tcPr>
          <w:p>
            <w:r/>
            <w:r>
              <w:rPr>
                <w:rFonts w:ascii="Times New Roman" w:hAnsi="Times New Roman"/>
                <w:sz w:val="20"/>
              </w:rPr>
              <w:t>23.4</w:t>
            </w:r>
          </w:p>
        </w:tc>
        <w:tc>
          <w:tcPr>
            <w:tcW w:type="dxa" w:w="1008"/>
          </w:tcPr>
          <w:p>
            <w:r/>
            <w:r>
              <w:rPr>
                <w:rFonts w:ascii="Times New Roman" w:hAnsi="Times New Roman"/>
                <w:sz w:val="20"/>
              </w:rPr>
              <w:t>22.9</w:t>
            </w:r>
          </w:p>
        </w:tc>
        <w:tc>
          <w:tcPr>
            <w:tcW w:type="dxa" w:w="3600"/>
          </w:tcPr>
          <w:p>
            <w:r/>
            <w:r>
              <w:rPr>
                <w:rFonts w:ascii="Times New Roman" w:hAnsi="Times New Roman"/>
                <w:sz w:val="20"/>
              </w:rPr>
              <w:t>Reflects buyback pace</w:t>
            </w:r>
          </w:p>
        </w:tc>
      </w:tr>
      <w:tr>
        <w:tc>
          <w:tcPr>
            <w:tcW w:type="dxa" w:w="2448"/>
          </w:tcPr>
          <w:p>
            <w:r/>
            <w:r>
              <w:rPr>
                <w:rFonts w:ascii="Times New Roman" w:hAnsi="Times New Roman"/>
                <w:sz w:val="20"/>
              </w:rPr>
              <w:t>China DC Revenue</w:t>
            </w:r>
          </w:p>
        </w:tc>
        <w:tc>
          <w:tcPr>
            <w:tcW w:type="dxa" w:w="1008"/>
          </w:tcPr>
          <w:p>
            <w:r/>
            <w:r>
              <w:rPr>
                <w:rFonts w:ascii="Times New Roman" w:hAnsi="Times New Roman"/>
                <w:sz w:val="20"/>
              </w:rPr>
              <w:t>$0</w:t>
            </w:r>
          </w:p>
        </w:tc>
        <w:tc>
          <w:tcPr>
            <w:tcW w:type="dxa" w:w="1008"/>
          </w:tcPr>
          <w:p>
            <w:r/>
            <w:r>
              <w:rPr>
                <w:rFonts w:ascii="Times New Roman" w:hAnsi="Times New Roman"/>
                <w:sz w:val="20"/>
              </w:rPr>
              <w:t>$0</w:t>
            </w:r>
          </w:p>
        </w:tc>
        <w:tc>
          <w:tcPr>
            <w:tcW w:type="dxa" w:w="1008"/>
          </w:tcPr>
          <w:p>
            <w:r/>
            <w:r>
              <w:rPr>
                <w:rFonts w:ascii="Times New Roman" w:hAnsi="Times New Roman"/>
                <w:sz w:val="20"/>
              </w:rPr>
              <w:t>$0</w:t>
            </w:r>
          </w:p>
        </w:tc>
        <w:tc>
          <w:tcPr>
            <w:tcW w:type="dxa" w:w="3600"/>
          </w:tcPr>
          <w:p>
            <w:r/>
            <w:r>
              <w:rPr>
                <w:rFonts w:ascii="Times New Roman" w:hAnsi="Times New Roman"/>
                <w:sz w:val="20"/>
              </w:rPr>
              <w:t>H200 license = upside optionality</w:t>
            </w:r>
          </w:p>
        </w:tc>
      </w:tr>
    </w:tbl>
    <w:p>
      <w:r>
        <w:rPr>
          <w:rFonts w:ascii="Times New Roman" w:hAnsi="Times New Roman"/>
          <w:b w:val="0"/>
          <w:i w:val="0"/>
          <w:sz w:val="22"/>
        </w:rPr>
      </w:r>
    </w:p>
    <w:p>
      <w:r>
        <w:rPr>
          <w:rFonts w:ascii="Times New Roman" w:hAnsi="Times New Roman"/>
          <w:b/>
          <w:sz w:val="24"/>
        </w:rPr>
        <w:t>Methodology Note</w:t>
      </w:r>
    </w:p>
    <w:p>
      <w:r>
        <w:rPr>
          <w:rFonts w:ascii="Times New Roman" w:hAnsi="Times New Roman"/>
          <w:b w:val="0"/>
          <w:i w:val="0"/>
          <w:sz w:val="22"/>
        </w:rPr>
        <w:t>Beat/miss percentages are calculated against FactSet consensus surveys closing on the last trading day prior to release (May 19, 2026). 'Buy-side whisper' references are based on prime-broker positioning surveys and the implied move embedded in single-stock options at print. Segment historical comparisons reflect NVIDIA's restated Q1 FY26 figures published alongside the Q1 FY27 release; prior-period Gaming/ProViz/Auto have been re-aggregated into the new Edge Computing line for like-for-like comparison.</w:t>
      </w:r>
    </w:p>
    <w:p>
      <w:r>
        <w:br w:type="page"/>
      </w:r>
    </w:p>
    <w:p>
      <w:r>
        <w:rPr>
          <w:rFonts w:ascii="Times New Roman" w:hAnsi="Times New Roman"/>
          <w:b/>
          <w:sz w:val="28"/>
        </w:rPr>
        <w:t>Sources &amp; References</w:t>
      </w:r>
    </w:p>
    <w:p>
      <w:r>
        <w:rPr>
          <w:rFonts w:ascii="Times New Roman" w:hAnsi="Times New Roman"/>
          <w:b/>
          <w:sz w:val="24"/>
        </w:rPr>
        <w:t>Primary Earnings Materials (Q1 FY27)</w:t>
      </w:r>
    </w:p>
    <w:p>
      <w:r>
        <w:rPr>
          <w:rFonts w:ascii="Times New Roman" w:hAnsi="Times New Roman"/>
          <w:sz w:val="22"/>
        </w:rPr>
        <w:t xml:space="preserve">Earnings Press Release (May 20, 2026): </w:t>
      </w:r>
      <w:hyperlink r:id="rId20">
        <w:r>
          <w:rPr>
            <w:color w:val="0563C1"/>
            <w:u w:val="single"/>
            <w:rFonts w:ascii="Times New Roman" w:hAnsi="Times New Roman"/>
            <w:sz w:val="22"/>
          </w:rPr>
          <w:t>Q1 FY27 Press Release (SEC Form 8-K)</w:t>
        </w:r>
      </w:hyperlink>
    </w:p>
    <w:p>
      <w:r>
        <w:rPr>
          <w:rFonts w:ascii="Times New Roman" w:hAnsi="Times New Roman"/>
          <w:sz w:val="22"/>
        </w:rPr>
        <w:t xml:space="preserve">CFO Commentary Document (May 20, 2026): </w:t>
      </w:r>
      <w:hyperlink r:id="rId21">
        <w:r>
          <w:rPr>
            <w:color w:val="0563C1"/>
            <w:u w:val="single"/>
            <w:rFonts w:ascii="Times New Roman" w:hAnsi="Times New Roman"/>
            <w:sz w:val="22"/>
          </w:rPr>
          <w:t>Q1 FY27 CFO Commentary</w:t>
        </w:r>
      </w:hyperlink>
    </w:p>
    <w:p>
      <w:r>
        <w:rPr>
          <w:rFonts w:ascii="Times New Roman" w:hAnsi="Times New Roman"/>
          <w:sz w:val="22"/>
        </w:rPr>
        <w:t xml:space="preserve">Form 8-K Filing (May 20, 2026): </w:t>
      </w:r>
      <w:hyperlink r:id="rId22">
        <w:r>
          <w:rPr>
            <w:color w:val="0563C1"/>
            <w:u w:val="single"/>
            <w:rFonts w:ascii="Times New Roman" w:hAnsi="Times New Roman"/>
            <w:sz w:val="22"/>
          </w:rPr>
          <w:t>8-K — Q1 FY27 Filing on SEC EDGAR</w:t>
        </w:r>
      </w:hyperlink>
    </w:p>
    <w:p>
      <w:r>
        <w:rPr>
          <w:rFonts w:ascii="Times New Roman" w:hAnsi="Times New Roman"/>
          <w:sz w:val="22"/>
        </w:rPr>
        <w:t xml:space="preserve">Investor Relations Hub: </w:t>
      </w:r>
      <w:hyperlink r:id="rId10">
        <w:r>
          <w:rPr>
            <w:color w:val="0563C1"/>
            <w:u w:val="single"/>
            <w:rFonts w:ascii="Times New Roman" w:hAnsi="Times New Roman"/>
            <w:sz w:val="22"/>
          </w:rPr>
          <w:t>NVIDIA IR — Financial Reports</w:t>
        </w:r>
      </w:hyperlink>
    </w:p>
    <w:p>
      <w:r>
        <w:rPr>
          <w:rFonts w:ascii="Times New Roman" w:hAnsi="Times New Roman"/>
          <w:b/>
          <w:sz w:val="24"/>
        </w:rPr>
        <w:t>Comparison &amp; Context Sources</w:t>
      </w:r>
    </w:p>
    <w:p>
      <w:r>
        <w:rPr>
          <w:rFonts w:ascii="Times New Roman" w:hAnsi="Times New Roman"/>
          <w:sz w:val="22"/>
        </w:rPr>
        <w:t xml:space="preserve">Q1 FY26 (Year-Ago) Earnings Release: </w:t>
      </w:r>
      <w:hyperlink r:id="rId23">
        <w:r>
          <w:rPr>
            <w:color w:val="0563C1"/>
            <w:u w:val="single"/>
            <w:rFonts w:ascii="Times New Roman" w:hAnsi="Times New Roman"/>
            <w:sz w:val="22"/>
          </w:rPr>
          <w:t>Q1 FY26 Press Release (SEC Form 8-K)</w:t>
        </w:r>
      </w:hyperlink>
    </w:p>
    <w:p>
      <w:r>
        <w:rPr>
          <w:rFonts w:ascii="Times New Roman" w:hAnsi="Times New Roman"/>
          <w:sz w:val="22"/>
        </w:rPr>
        <w:t xml:space="preserve">Q4 FY26 (Prior-Quarter) CFO Commentary: </w:t>
      </w:r>
      <w:hyperlink r:id="rId24">
        <w:r>
          <w:rPr>
            <w:color w:val="0563C1"/>
            <w:u w:val="single"/>
            <w:rFonts w:ascii="Times New Roman" w:hAnsi="Times New Roman"/>
            <w:sz w:val="22"/>
          </w:rPr>
          <w:t>Q4 FY26 CFO Commentary</w:t>
        </w:r>
      </w:hyperlink>
    </w:p>
    <w:p>
      <w:r>
        <w:rPr>
          <w:rFonts w:ascii="Times New Roman" w:hAnsi="Times New Roman"/>
          <w:b/>
          <w:sz w:val="24"/>
        </w:rPr>
        <w:t>Earnings Call &amp; Analyst Commentary</w:t>
      </w:r>
    </w:p>
    <w:p>
      <w:r>
        <w:rPr>
          <w:rFonts w:ascii="Times New Roman" w:hAnsi="Times New Roman"/>
          <w:sz w:val="22"/>
        </w:rPr>
        <w:t xml:space="preserve">Live coverage and management quotes: </w:t>
      </w:r>
      <w:hyperlink r:id="rId25">
        <w:r>
          <w:rPr>
            <w:color w:val="0563C1"/>
            <w:u w:val="single"/>
            <w:rFonts w:ascii="Times New Roman" w:hAnsi="Times New Roman"/>
            <w:sz w:val="22"/>
          </w:rPr>
          <w:t>CNBC — NVIDIA Q1 2027 Live Updates</w:t>
        </w:r>
      </w:hyperlink>
    </w:p>
    <w:p>
      <w:r>
        <w:rPr>
          <w:rFonts w:ascii="Times New Roman" w:hAnsi="Times New Roman"/>
          <w:sz w:val="22"/>
        </w:rPr>
        <w:t xml:space="preserve">Earnings preview (provides consensus context): </w:t>
      </w:r>
      <w:hyperlink r:id="rId26">
        <w:r>
          <w:rPr>
            <w:color w:val="0563C1"/>
            <w:u w:val="single"/>
            <w:rFonts w:ascii="Times New Roman" w:hAnsi="Times New Roman"/>
            <w:sz w:val="22"/>
          </w:rPr>
          <w:t>S&amp;P Global Market Intelligence — Q1 2027 Preview</w:t>
        </w:r>
      </w:hyperlink>
    </w:p>
    <w:p>
      <w:r>
        <w:rPr>
          <w:rFonts w:ascii="Times New Roman" w:hAnsi="Times New Roman"/>
          <w:sz w:val="22"/>
        </w:rPr>
        <w:t xml:space="preserve">Detailed quarterly breakdown: </w:t>
      </w:r>
      <w:hyperlink r:id="rId27">
        <w:r>
          <w:rPr>
            <w:color w:val="0563C1"/>
            <w:u w:val="single"/>
            <w:rFonts w:ascii="Times New Roman" w:hAnsi="Times New Roman"/>
            <w:sz w:val="22"/>
          </w:rPr>
          <w:t>Vested Finance — NVIDIA Q1 FY27: A Closer Read</w:t>
        </w:r>
      </w:hyperlink>
    </w:p>
    <w:p>
      <w:r>
        <w:rPr>
          <w:rFonts w:ascii="Times New Roman" w:hAnsi="Times New Roman"/>
          <w:sz w:val="22"/>
        </w:rPr>
        <w:t xml:space="preserve">Press release mirror with segment detail: </w:t>
      </w:r>
      <w:hyperlink r:id="rId28">
        <w:r>
          <w:rPr>
            <w:color w:val="0563C1"/>
            <w:u w:val="single"/>
            <w:rFonts w:ascii="Times New Roman" w:hAnsi="Times New Roman"/>
            <w:sz w:val="22"/>
          </w:rPr>
          <w:t>Stock Titan — NVIDIA Q1 Press Release Mirror</w:t>
        </w:r>
      </w:hyperlink>
    </w:p>
    <w:p>
      <w:r>
        <w:rPr>
          <w:rFonts w:ascii="Times New Roman" w:hAnsi="Times New Roman"/>
          <w:sz w:val="22"/>
        </w:rPr>
        <w:t xml:space="preserve">Macro context (rolling earnings tracker): </w:t>
      </w:r>
      <w:hyperlink r:id="rId29">
        <w:r>
          <w:rPr>
            <w:color w:val="0563C1"/>
            <w:u w:val="single"/>
            <w:rFonts w:ascii="Times New Roman" w:hAnsi="Times New Roman"/>
            <w:sz w:val="22"/>
          </w:rPr>
          <w:t>Kiplinger — Nvidia Earnings Live Updates</w:t>
        </w:r>
      </w:hyperlink>
    </w:p>
    <w:p>
      <w:r>
        <w:rPr>
          <w:rFonts w:ascii="Times New Roman" w:hAnsi="Times New Roman"/>
          <w:b/>
          <w:sz w:val="24"/>
        </w:rPr>
        <w:t>Consensus &amp; Estimates</w:t>
      </w:r>
    </w:p>
    <w:p>
      <w:r>
        <w:rPr>
          <w:rFonts w:ascii="Times New Roman" w:hAnsi="Times New Roman"/>
          <w:b w:val="0"/>
          <w:i w:val="0"/>
          <w:sz w:val="22"/>
        </w:rPr>
        <w:t>Consensus revenue, EPS, and gross margin figures referenced throughout this report reflect the FactSet survey of 38 covering analysts as of the closing print on May 19, 2026 (one trading day before the release). 'Buy-side whisper' references are derived from prime-broker positioning surveys and implied-move analysis of single-stock options at the print. The 'Old' estimate column in Summary Table 2 reflects J.P. Morgan numbers as of the post-Q4 FY26 update (February 26, 2026); 'New' estimates incorporate the Q1 FY27 print and the revised Q2 FY27 guide.</w:t>
      </w:r>
    </w:p>
    <w:p>
      <w:r>
        <w:rPr>
          <w:rFonts w:ascii="Times New Roman" w:hAnsi="Times New Roman"/>
          <w:b/>
          <w:sz w:val="24"/>
        </w:rPr>
        <w:t>Disclaimer</w:t>
      </w:r>
    </w:p>
    <w:p>
      <w:r>
        <w:rPr>
          <w:rFonts w:ascii="Times New Roman" w:hAnsi="Times New Roman"/>
          <w:b w:val="0"/>
          <w:i/>
          <w:sz w:val="18"/>
        </w:rPr>
        <w:t>This report is provided for informational and educational purposes only and does not constitute investment advice or a recommendation to buy or sell any security. All forecasts, estimates, and price targets represent illustrative analysis based on publicly available information as of May 21, 2026. Past performance does not guarantee future results. The author and/or related entities may hold positions in NVDA and other securities mentioned.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investor.nvidia.com/financial-info/financial-reports/default.aspx"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www.sec.gov/Archives/edgar/data/0001045810/000104581026000051/q1fy27pr.htm" TargetMode="External"/><Relationship Id="rId21" Type="http://schemas.openxmlformats.org/officeDocument/2006/relationships/hyperlink" Target="https://www.sec.gov/Archives/edgar/data/0001045810/000104581026000051/q1fy27cfocommentary.htm" TargetMode="External"/><Relationship Id="rId22" Type="http://schemas.openxmlformats.org/officeDocument/2006/relationships/hyperlink" Target="https://www.sec.gov/Archives/edgar/data/0001045810/000104581026000051/nvda-20260520.htm" TargetMode="External"/><Relationship Id="rId23" Type="http://schemas.openxmlformats.org/officeDocument/2006/relationships/hyperlink" Target="https://www.sec.gov/Archives/edgar/data/0001045810/000104581025000115/q1fy26pr.htm" TargetMode="External"/><Relationship Id="rId24" Type="http://schemas.openxmlformats.org/officeDocument/2006/relationships/hyperlink" Target="https://www.sec.gov/Archives/edgar/data/0001045810/000104581026000019/q4fy26cfocommentary.htm" TargetMode="External"/><Relationship Id="rId25" Type="http://schemas.openxmlformats.org/officeDocument/2006/relationships/hyperlink" Target="https://www.cnbc.com/2026/05/20/nvidia-nvda-earnings-report-q1-2027.html" TargetMode="External"/><Relationship Id="rId26" Type="http://schemas.openxmlformats.org/officeDocument/2006/relationships/hyperlink" Target="https://www.spglobal.com/market-intelligence/en/news-insights/research/2026/05/nvidia-earnings-preview-q1-2027" TargetMode="External"/><Relationship Id="rId27" Type="http://schemas.openxmlformats.org/officeDocument/2006/relationships/hyperlink" Target="https://vestedfinance.com/blog/us-stocks/nvidia-q1-fy27-earnings-a-closer-read-of-a-record-quarter/" TargetMode="External"/><Relationship Id="rId28" Type="http://schemas.openxmlformats.org/officeDocument/2006/relationships/hyperlink" Target="https://www.stocktitan.net/news/NVDA/nvidia-announces-financial-results-for-first-quarter-fiscal-fq78amc9h84m.html" TargetMode="External"/><Relationship Id="rId29" Type="http://schemas.openxmlformats.org/officeDocument/2006/relationships/hyperlink" Target="https://www.kiplinger.com/investing/live/nvidia-earnings-live-updates-and-commentary-may-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