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Price Discovery System — Academic References</w:t>
      </w:r>
    </w:p>
    <w:p>
      <w:r>
        <w:rPr>
          <w:b/>
          <w:sz w:val="20"/>
        </w:rPr>
        <w:t>작성일</w:t>
      </w:r>
      <w:r>
        <w:rPr>
          <w:sz w:val="20"/>
        </w:rPr>
        <w:t xml:space="preserve">: 2026-04-30   |   </w:t>
      </w:r>
      <w:r>
        <w:rPr>
          <w:b/>
          <w:sz w:val="20"/>
        </w:rPr>
        <w:t>수록 논문</w:t>
      </w:r>
      <w:r>
        <w:rPr>
          <w:sz w:val="20"/>
        </w:rPr>
        <w:t>: 20개 (다운로드) + 6개 (citation only)</w:t>
      </w:r>
    </w:p>
    <w:p/>
    <w:p>
      <w:pPr>
        <w:pStyle w:val="Heading1"/>
      </w:pPr>
      <w:r>
        <w:t>Overview</w:t>
      </w:r>
    </w:p>
    <w:p>
      <w:r>
        <w:rPr>
          <w:sz w:val="20"/>
        </w:rPr>
        <w:t>Price Discovery 시스템에서 사용된 모든 정량 로직은 학술적으로 검증된 연구에 기반합니다. 이 문서는 시스템 컴포넌트별로 그 학술적 근거를 매핑한 reference 모음입니다.</w:t>
      </w:r>
    </w:p>
    <w:p/>
    <w:p>
      <w:pPr>
        <w:pStyle w:val="Heading1"/>
      </w:pPr>
      <w:r>
        <w:t>Component → Reference Mapping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/>
          </w:tcPr>
          <w:p>
            <w:r>
              <w:rPr>
                <w:b/>
                <w:color w:val="FFFFFF"/>
              </w:rPr>
              <w:t>System Component</w:t>
            </w:r>
          </w:p>
        </w:tc>
        <w:tc>
          <w:tcPr>
            <w:tcW w:type="dxa" w:w="4824"/>
            <w:shd w:fill="1F4E79"/>
          </w:tcPr>
          <w:p>
            <w:r>
              <w:rPr>
                <w:b/>
                <w:color w:val="FFFFFF"/>
              </w:rPr>
              <w:t>Academic References</w:t>
            </w:r>
          </w:p>
        </w:tc>
      </w:tr>
      <w:tr>
        <w:tc>
          <w:tcPr>
            <w:tcW w:type="dxa" w:w="4824"/>
          </w:tcPr>
          <w:p>
            <w:r>
              <w:t>Composite Score (TCS/TFS/RSS)</w:t>
            </w:r>
          </w:p>
        </w:tc>
        <w:tc>
          <w:tcPr>
            <w:tcW w:type="dxa" w:w="4824"/>
          </w:tcPr>
          <w:p>
            <w:r>
              <w:t>Jegadeesh-Titman 1993, Moskowitz 2012, Brock 1992</w:t>
            </w:r>
          </w:p>
        </w:tc>
      </w:tr>
      <w:tr>
        <w:tc>
          <w:tcPr>
            <w:tcW w:type="dxa" w:w="4824"/>
          </w:tcPr>
          <w:p>
            <w:r>
              <w:t>OER (Overextension Risk)</w:t>
            </w:r>
          </w:p>
        </w:tc>
        <w:tc>
          <w:tcPr>
            <w:tcW w:type="dxa" w:w="4824"/>
          </w:tcPr>
          <w:p>
            <w:r>
              <w:t>Daniel-Moskowitz 2016, George-Hwang 2004, DHS 1998</w:t>
            </w:r>
          </w:p>
        </w:tc>
      </w:tr>
      <w:tr>
        <w:tc>
          <w:tcPr>
            <w:tcW w:type="dxa" w:w="4824"/>
          </w:tcPr>
          <w:p>
            <w:r>
              <w:t>Pre-Momentum 4-Agent</w:t>
            </w:r>
          </w:p>
        </w:tc>
        <w:tc>
          <w:tcPr>
            <w:tcW w:type="dxa" w:w="4824"/>
          </w:tcPr>
          <w:p>
            <w:r>
              <w:t>Hong-Stein 1999, BSV 1998, DHS 1998, AFP 2014 (Quality)</w:t>
            </w:r>
          </w:p>
        </w:tc>
      </w:tr>
      <w:tr>
        <w:tc>
          <w:tcPr>
            <w:tcW w:type="dxa" w:w="4824"/>
          </w:tcPr>
          <w:p>
            <w:r>
              <w:t>Hedge Strategies (8개)</w:t>
            </w:r>
          </w:p>
        </w:tc>
        <w:tc>
          <w:tcPr>
            <w:tcW w:type="dxa" w:w="4824"/>
          </w:tcPr>
          <w:p>
            <w:r>
              <w:t>Lo-Mamaysky-Wang 2000, Brock-Lakonishok 1992, O'Neil/Minervini (books)</w:t>
            </w:r>
          </w:p>
        </w:tc>
      </w:tr>
      <w:tr>
        <w:tc>
          <w:tcPr>
            <w:tcW w:type="dxa" w:w="4824"/>
          </w:tcPr>
          <w:p>
            <w:r>
              <w:t>Classification (3×3 + overrides)</w:t>
            </w:r>
          </w:p>
        </w:tc>
        <w:tc>
          <w:tcPr>
            <w:tcW w:type="dxa" w:w="4824"/>
          </w:tcPr>
          <w:p>
            <w:r>
              <w:t>Carhart 1997, Daniel-Moskowitz 2016, Asness 2013</w:t>
            </w:r>
          </w:p>
        </w:tc>
      </w:tr>
      <w:tr>
        <w:tc>
          <w:tcPr>
            <w:tcW w:type="dxa" w:w="4824"/>
          </w:tcPr>
          <w:p>
            <w:r>
              <w:t>Phase 1: Vol-Adjusted Buffer</w:t>
            </w:r>
          </w:p>
        </w:tc>
        <w:tc>
          <w:tcPr>
            <w:tcW w:type="dxa" w:w="4824"/>
          </w:tcPr>
          <w:p>
            <w:r>
              <w:t>Andersen-Bollerslev 1998, Frazzini-Pedersen 2014 (BAB)</w:t>
            </w:r>
          </w:p>
        </w:tc>
      </w:tr>
      <w:tr>
        <w:tc>
          <w:tcPr>
            <w:tcW w:type="dxa" w:w="4824"/>
          </w:tcPr>
          <w:p>
            <w:r>
              <w:t>Validation (Forward Returns / IC / Persistence)</w:t>
            </w:r>
          </w:p>
        </w:tc>
        <w:tc>
          <w:tcPr>
            <w:tcW w:type="dxa" w:w="4824"/>
          </w:tcPr>
          <w:p>
            <w:r>
              <w:t>Grinold 1989, Sharpe 1994, Fama-MacBeth 1973</w:t>
            </w:r>
          </w:p>
        </w:tc>
      </w:tr>
      <w:tr>
        <w:tc>
          <w:tcPr>
            <w:tcW w:type="dxa" w:w="4824"/>
          </w:tcPr>
          <w:p>
            <w:r>
              <w:t>LAGGING_CATCHUP / Underreaction</w:t>
            </w:r>
          </w:p>
        </w:tc>
        <w:tc>
          <w:tcPr>
            <w:tcW w:type="dxa" w:w="4824"/>
          </w:tcPr>
          <w:p>
            <w:r>
              <w:t>Hong-Stein 1999, BSV 1998</w:t>
            </w:r>
          </w:p>
        </w:tc>
      </w:tr>
      <w:tr>
        <w:tc>
          <w:tcPr>
            <w:tcW w:type="dxa" w:w="4824"/>
          </w:tcPr>
          <w:p>
            <w:r>
              <w:t>Long-term Reversal (CYCLE_PEAK)</w:t>
            </w:r>
          </w:p>
        </w:tc>
        <w:tc>
          <w:tcPr>
            <w:tcW w:type="dxa" w:w="4824"/>
          </w:tcPr>
          <w:p>
            <w:r>
              <w:t>De Bondt-Thaler 1985, Jegadeesh-Titman 2001</w:t>
            </w:r>
          </w:p>
        </w:tc>
      </w:tr>
      <w:tr>
        <w:tc>
          <w:tcPr>
            <w:tcW w:type="dxa" w:w="4824"/>
          </w:tcPr>
          <w:p>
            <w:r>
              <w:t>Multi-horizon Returns (1D~5Y)</w:t>
            </w:r>
          </w:p>
        </w:tc>
        <w:tc>
          <w:tcPr>
            <w:tcW w:type="dxa" w:w="4824"/>
          </w:tcPr>
          <w:p>
            <w:r>
              <w:t>Asness 2013, Moskowitz 2012, Carhart 1997</w:t>
            </w:r>
          </w:p>
        </w:tc>
      </w:tr>
    </w:tbl>
    <w:p/>
    <w:p>
      <w:pPr>
        <w:pStyle w:val="Heading1"/>
      </w:pPr>
      <w:r>
        <w:t>References by Category</w:t>
      </w:r>
    </w:p>
    <w:p>
      <w:pPr>
        <w:pStyle w:val="Heading2"/>
      </w:pPr>
      <w:r>
        <w:t>Momentum (Foundational)</w:t>
      </w:r>
    </w:p>
    <w:p>
      <w:r>
        <w:rPr>
          <w:b/>
          <w:color w:val="1F4E79"/>
          <w:sz w:val="22"/>
        </w:rPr>
        <w:t>[01] Returns to Buying Winners and Selling Losers: Implications for Stock Market Efficiency</w:t>
      </w:r>
    </w:p>
    <w:p>
      <w:pPr>
        <w:ind w:left="288"/>
      </w:pPr>
      <w:r>
        <w:rPr>
          <w:i/>
          <w:sz w:val="20"/>
        </w:rPr>
        <w:t xml:space="preserve">Jegadeesh, N. &amp; Titman, S. (1993). </w:t>
      </w:r>
      <w:r>
        <w:rPr>
          <w:sz w:val="20"/>
        </w:rPr>
        <w:t>Journal of Finance, 48(1), 65-91</w:t>
      </w:r>
    </w:p>
    <w:p>
      <w:pPr>
        <w:ind w:left="288"/>
      </w:pPr>
      <w:r>
        <w:rPr>
          <w:rFonts w:ascii="Consolas" w:hAnsi="Consolas"/>
          <w:color w:val="06B6D4"/>
          <w:sz w:val="18"/>
        </w:rPr>
        <w:t>📄 01_Jegadeesh_Titman_1993_Momentum.pdf</w:t>
      </w:r>
    </w:p>
    <w:p>
      <w:pPr>
        <w:ind w:left="288"/>
      </w:pPr>
      <w:r>
        <w:rPr>
          <w:b/>
          <w:color w:val="666666"/>
          <w:sz w:val="18"/>
        </w:rPr>
        <w:t>Applies to:</w:t>
      </w:r>
    </w:p>
    <w:p>
      <w:pPr>
        <w:pStyle w:val="ListBullet"/>
        <w:ind w:left="576"/>
      </w:pPr>
      <w:r>
        <w:rPr>
          <w:sz w:val="19"/>
        </w:rPr>
        <w:t>Cross-sectional momentum (RSS) — 12-1M return percentile</w:t>
      </w:r>
    </w:p>
    <w:p>
      <w:pPr>
        <w:pStyle w:val="ListBullet"/>
        <w:ind w:left="576"/>
      </w:pPr>
      <w:r>
        <w:rPr>
          <w:sz w:val="19"/>
        </w:rPr>
        <w:t>ret_12_1m field as canonical momentum measure</w:t>
      </w:r>
    </w:p>
    <w:p>
      <w:pPr>
        <w:pStyle w:val="ListBullet"/>
        <w:ind w:left="576"/>
      </w:pPr>
      <w:r>
        <w:rPr>
          <w:sz w:val="19"/>
        </w:rPr>
        <w:t>기본 모멘텀 효과의 학술적 근거</w:t>
      </w:r>
    </w:p>
    <w:p/>
    <w:p>
      <w:pPr>
        <w:pStyle w:val="Heading2"/>
      </w:pPr>
      <w:r>
        <w:t>Momentum (Multi-Asset)</w:t>
      </w:r>
    </w:p>
    <w:p>
      <w:r>
        <w:rPr>
          <w:b/>
          <w:color w:val="1F4E79"/>
          <w:sz w:val="22"/>
        </w:rPr>
        <w:t>[02] Time Series Momentum</w:t>
      </w:r>
    </w:p>
    <w:p>
      <w:pPr>
        <w:ind w:left="288"/>
      </w:pPr>
      <w:r>
        <w:rPr>
          <w:i/>
          <w:sz w:val="20"/>
        </w:rPr>
        <w:t xml:space="preserve">Moskowitz, T. J., Ooi, Y. H., &amp; Pedersen, L. H. (2012). </w:t>
      </w:r>
      <w:r>
        <w:rPr>
          <w:sz w:val="20"/>
        </w:rPr>
        <w:t>Journal of Financial Economics, 104(2), 228-250</w:t>
      </w:r>
    </w:p>
    <w:p>
      <w:pPr>
        <w:ind w:left="288"/>
      </w:pPr>
      <w:r>
        <w:rPr>
          <w:rFonts w:ascii="Consolas" w:hAnsi="Consolas"/>
          <w:color w:val="06B6D4"/>
          <w:sz w:val="18"/>
        </w:rPr>
        <w:t>📄 02_Moskowitz_Ooi_Pedersen_2012_TSMomentum.pdf</w:t>
      </w:r>
    </w:p>
    <w:p>
      <w:pPr>
        <w:ind w:left="288"/>
      </w:pPr>
      <w:r>
        <w:rPr>
          <w:b/>
          <w:color w:val="666666"/>
          <w:sz w:val="18"/>
        </w:rPr>
        <w:t>Applies to:</w:t>
      </w:r>
    </w:p>
    <w:p>
      <w:pPr>
        <w:pStyle w:val="ListBullet"/>
        <w:ind w:left="576"/>
      </w:pPr>
      <w:r>
        <w:rPr>
          <w:sz w:val="19"/>
        </w:rPr>
        <w:t>TCS — Trend Continuation Score (단기/장기 추세 지속성)</w:t>
      </w:r>
    </w:p>
    <w:p>
      <w:pPr>
        <w:pStyle w:val="ListBullet"/>
        <w:ind w:left="576"/>
      </w:pPr>
      <w:r>
        <w:rPr>
          <w:sz w:val="19"/>
        </w:rPr>
        <w:t>Multi-asset momentum across ETFs (FICC + Equity)</w:t>
      </w:r>
    </w:p>
    <w:p>
      <w:pPr>
        <w:pStyle w:val="ListBullet"/>
        <w:ind w:left="576"/>
      </w:pPr>
      <w:r>
        <w:rPr>
          <w:sz w:val="19"/>
        </w:rPr>
        <w:t>1-12개월 horizon에서 자기 시계열 추세의 통계적 유의성</w:t>
      </w:r>
    </w:p>
    <w:p/>
    <w:p>
      <w:pPr>
        <w:pStyle w:val="Heading2"/>
      </w:pPr>
      <w:r>
        <w:t>Momentum (Cross-Asset)</w:t>
      </w:r>
    </w:p>
    <w:p>
      <w:r>
        <w:rPr>
          <w:b/>
          <w:color w:val="1F4E79"/>
          <w:sz w:val="22"/>
        </w:rPr>
        <w:t>[03] Value and Momentum Everywhere</w:t>
      </w:r>
    </w:p>
    <w:p>
      <w:pPr>
        <w:ind w:left="288"/>
      </w:pPr>
      <w:r>
        <w:rPr>
          <w:i/>
          <w:sz w:val="20"/>
        </w:rPr>
        <w:t xml:space="preserve">Asness, C. S., Moskowitz, T. J., &amp; Pedersen, L. H. (2013). </w:t>
      </w:r>
      <w:r>
        <w:rPr>
          <w:sz w:val="20"/>
        </w:rPr>
        <w:t>Journal of Finance, 68(3), 929-985</w:t>
      </w:r>
    </w:p>
    <w:p>
      <w:pPr>
        <w:ind w:left="288"/>
      </w:pPr>
      <w:r>
        <w:rPr>
          <w:rFonts w:ascii="Consolas" w:hAnsi="Consolas"/>
          <w:color w:val="06B6D4"/>
          <w:sz w:val="18"/>
        </w:rPr>
        <w:t>📄 03_Asness_Moskowitz_Pedersen_2013_ValMom.pdf</w:t>
      </w:r>
    </w:p>
    <w:p>
      <w:pPr>
        <w:ind w:left="288"/>
      </w:pPr>
      <w:r>
        <w:rPr>
          <w:b/>
          <w:color w:val="666666"/>
          <w:sz w:val="18"/>
        </w:rPr>
        <w:t>Applies to:</w:t>
      </w:r>
    </w:p>
    <w:p>
      <w:pPr>
        <w:pStyle w:val="ListBullet"/>
        <w:ind w:left="576"/>
      </w:pPr>
      <w:r>
        <w:rPr>
          <w:sz w:val="19"/>
        </w:rPr>
        <w:t>Multi-asset class momentum (8 markets)</w:t>
      </w:r>
    </w:p>
    <w:p>
      <w:pPr>
        <w:pStyle w:val="ListBullet"/>
        <w:ind w:left="576"/>
      </w:pPr>
      <w:r>
        <w:rPr>
          <w:sz w:val="19"/>
        </w:rPr>
        <w:t>Pre-Momentum/Momentum 구분의 cross-asset validity</w:t>
      </w:r>
    </w:p>
    <w:p>
      <w:pPr>
        <w:pStyle w:val="ListBullet"/>
        <w:ind w:left="576"/>
      </w:pPr>
      <w:r>
        <w:rPr>
          <w:sz w:val="19"/>
        </w:rPr>
        <w:t>Factor framework 일반화</w:t>
      </w:r>
    </w:p>
    <w:p/>
    <w:p>
      <w:pPr>
        <w:pStyle w:val="Heading2"/>
      </w:pPr>
      <w:r>
        <w:t>Momentum (Robustness)</w:t>
      </w:r>
    </w:p>
    <w:p>
      <w:r>
        <w:rPr>
          <w:b/>
          <w:color w:val="1F4E79"/>
          <w:sz w:val="22"/>
        </w:rPr>
        <w:t>[16] Profitability of Momentum Strategies: An Evaluation of Alternative Explanations</w:t>
      </w:r>
    </w:p>
    <w:p>
      <w:pPr>
        <w:ind w:left="288"/>
      </w:pPr>
      <w:r>
        <w:rPr>
          <w:i/>
          <w:sz w:val="20"/>
        </w:rPr>
        <w:t xml:space="preserve">Jegadeesh, N. &amp; Titman, S. (2001). </w:t>
      </w:r>
      <w:r>
        <w:rPr>
          <w:sz w:val="20"/>
        </w:rPr>
        <w:t>Journal of Finance, 56(2), 699-720</w:t>
      </w:r>
    </w:p>
    <w:p>
      <w:pPr>
        <w:ind w:left="288"/>
      </w:pPr>
      <w:r>
        <w:rPr>
          <w:rFonts w:ascii="Consolas" w:hAnsi="Consolas"/>
          <w:color w:val="06B6D4"/>
          <w:sz w:val="18"/>
        </w:rPr>
        <w:t>📄 16_Jegadeesh_Titman_2001_MomentumProfitability.pdf</w:t>
      </w:r>
    </w:p>
    <w:p>
      <w:pPr>
        <w:ind w:left="288"/>
      </w:pPr>
      <w:r>
        <w:rPr>
          <w:b/>
          <w:color w:val="666666"/>
          <w:sz w:val="18"/>
        </w:rPr>
        <w:t>Applies to:</w:t>
      </w:r>
    </w:p>
    <w:p>
      <w:pPr>
        <w:pStyle w:val="ListBullet"/>
        <w:ind w:left="576"/>
      </w:pPr>
      <w:r>
        <w:rPr>
          <w:sz w:val="19"/>
        </w:rPr>
        <w:t>1990년대 모멘텀 robustness 검증 — 시스템의 시간대 일반화 근거</w:t>
      </w:r>
    </w:p>
    <w:p>
      <w:pPr>
        <w:pStyle w:val="ListBullet"/>
        <w:ind w:left="576"/>
      </w:pPr>
      <w:r>
        <w:rPr>
          <w:sz w:val="19"/>
        </w:rPr>
        <w:t>behavioral overreaction 모델 검증</w:t>
      </w:r>
    </w:p>
    <w:p>
      <w:pPr>
        <w:pStyle w:val="ListBullet"/>
        <w:ind w:left="576"/>
      </w:pPr>
      <w:r>
        <w:rPr>
          <w:sz w:val="19"/>
        </w:rPr>
        <w:t>long-horizon reversal (4-5년) → CYCLE_PEAK 분류 동기</w:t>
      </w:r>
    </w:p>
    <w:p/>
    <w:p>
      <w:pPr>
        <w:pStyle w:val="Heading2"/>
      </w:pPr>
      <w:r>
        <w:t>Momentum (52-Week High)</w:t>
      </w:r>
    </w:p>
    <w:p>
      <w:r>
        <w:rPr>
          <w:b/>
          <w:color w:val="1F4E79"/>
          <w:sz w:val="22"/>
        </w:rPr>
        <w:t>[06] The 52-Week High and Momentum Investing</w:t>
      </w:r>
    </w:p>
    <w:p>
      <w:pPr>
        <w:ind w:left="288"/>
      </w:pPr>
      <w:r>
        <w:rPr>
          <w:i/>
          <w:sz w:val="20"/>
        </w:rPr>
        <w:t xml:space="preserve">George, T. J. &amp; Hwang, C-Y. (2004). </w:t>
      </w:r>
      <w:r>
        <w:rPr>
          <w:sz w:val="20"/>
        </w:rPr>
        <w:t>Journal of Finance, 59(5), 2145-2176</w:t>
      </w:r>
    </w:p>
    <w:p>
      <w:pPr>
        <w:ind w:left="288"/>
      </w:pPr>
      <w:r>
        <w:rPr>
          <w:rFonts w:ascii="Consolas" w:hAnsi="Consolas"/>
          <w:color w:val="06B6D4"/>
          <w:sz w:val="18"/>
        </w:rPr>
        <w:t>📄 06_George_Hwang_2004_52WeekHigh.pdf</w:t>
      </w:r>
    </w:p>
    <w:p>
      <w:pPr>
        <w:ind w:left="288"/>
      </w:pPr>
      <w:r>
        <w:rPr>
          <w:b/>
          <w:color w:val="666666"/>
          <w:sz w:val="18"/>
        </w:rPr>
        <w:t>Applies to:</w:t>
      </w:r>
    </w:p>
    <w:p>
      <w:pPr>
        <w:pStyle w:val="ListBullet"/>
        <w:ind w:left="576"/>
      </w:pPr>
      <w:r>
        <w:rPr>
          <w:sz w:val="19"/>
        </w:rPr>
        <w:t>OER (Overextension Risk) — 52주 고점 근접도 사용</w:t>
      </w:r>
    </w:p>
    <w:p>
      <w:pPr>
        <w:pStyle w:val="ListBullet"/>
        <w:ind w:left="576"/>
      </w:pPr>
      <w:r>
        <w:rPr>
          <w:sz w:val="19"/>
        </w:rPr>
        <w:t>pct_from_high 지표의 학술적 정당성</w:t>
      </w:r>
    </w:p>
    <w:p>
      <w:pPr>
        <w:pStyle w:val="ListBullet"/>
        <w:ind w:left="576"/>
      </w:pPr>
      <w:r>
        <w:rPr>
          <w:sz w:val="19"/>
        </w:rPr>
        <w:t>52주 고점 anchoring 효과 → momentum 강화 신호</w:t>
      </w:r>
    </w:p>
    <w:p/>
    <w:p>
      <w:pPr>
        <w:pStyle w:val="Heading2"/>
      </w:pPr>
      <w:r>
        <w:t>Momentum (Risk Management)</w:t>
      </w:r>
    </w:p>
    <w:p>
      <w:r>
        <w:rPr>
          <w:b/>
          <w:color w:val="1F4E79"/>
          <w:sz w:val="22"/>
        </w:rPr>
        <w:t>[05] Momentum Crashes</w:t>
      </w:r>
    </w:p>
    <w:p>
      <w:pPr>
        <w:ind w:left="288"/>
      </w:pPr>
      <w:r>
        <w:rPr>
          <w:i/>
          <w:sz w:val="20"/>
        </w:rPr>
        <w:t xml:space="preserve">Daniel, K. D. &amp; Moskowitz, T. J. (2016). </w:t>
      </w:r>
      <w:r>
        <w:rPr>
          <w:sz w:val="20"/>
        </w:rPr>
        <w:t>Journal of Financial Economics, 122(2), 221-247</w:t>
      </w:r>
    </w:p>
    <w:p>
      <w:pPr>
        <w:ind w:left="288"/>
      </w:pPr>
      <w:r>
        <w:rPr>
          <w:rFonts w:ascii="Consolas" w:hAnsi="Consolas"/>
          <w:color w:val="06B6D4"/>
          <w:sz w:val="18"/>
        </w:rPr>
        <w:t>📄 05_Daniel_Moskowitz_2016_MomentumCrashes.pdf</w:t>
      </w:r>
    </w:p>
    <w:p>
      <w:pPr>
        <w:ind w:left="288"/>
      </w:pPr>
      <w:r>
        <w:rPr>
          <w:b/>
          <w:color w:val="666666"/>
          <w:sz w:val="18"/>
        </w:rPr>
        <w:t>Applies to:</w:t>
      </w:r>
    </w:p>
    <w:p>
      <w:pPr>
        <w:pStyle w:val="ListBullet"/>
        <w:ind w:left="576"/>
      </w:pPr>
      <w:r>
        <w:rPr>
          <w:sz w:val="19"/>
        </w:rPr>
        <w:t>OER (Overextension Risk) — 모멘텀 과열 후 급락 위험</w:t>
      </w:r>
    </w:p>
    <w:p>
      <w:pPr>
        <w:pStyle w:val="ListBullet"/>
        <w:ind w:left="576"/>
      </w:pPr>
      <w:r>
        <w:rPr>
          <w:sz w:val="19"/>
        </w:rPr>
        <w:t>OVEREXTENDED override 도입 근거</w:t>
      </w:r>
    </w:p>
    <w:p>
      <w:pPr>
        <w:pStyle w:val="ListBullet"/>
        <w:ind w:left="576"/>
      </w:pPr>
      <w:r>
        <w:rPr>
          <w:sz w:val="19"/>
        </w:rPr>
        <w:t>ret_36_12m + 12M 모멘텀 둔화 → CYCLE_PEAK 분류</w:t>
      </w:r>
    </w:p>
    <w:p>
      <w:pPr>
        <w:pStyle w:val="ListBullet"/>
        <w:ind w:left="576"/>
      </w:pPr>
      <w:r>
        <w:rPr>
          <w:sz w:val="19"/>
        </w:rPr>
        <w:t>vol-managed momentum 아이디어 (Phase 1: vol-adjusted buffer)</w:t>
      </w:r>
    </w:p>
    <w:p/>
    <w:p>
      <w:pPr>
        <w:pStyle w:val="Heading2"/>
      </w:pPr>
      <w:r>
        <w:t>Behavioral (Underreaction)</w:t>
      </w:r>
    </w:p>
    <w:p>
      <w:r>
        <w:rPr>
          <w:b/>
          <w:color w:val="1F4E79"/>
          <w:sz w:val="22"/>
        </w:rPr>
        <w:t>[11] A Model of Investor Sentiment</w:t>
      </w:r>
    </w:p>
    <w:p>
      <w:pPr>
        <w:ind w:left="288"/>
      </w:pPr>
      <w:r>
        <w:rPr>
          <w:i/>
          <w:sz w:val="20"/>
        </w:rPr>
        <w:t xml:space="preserve">Barberis, N., Shleifer, A., &amp; Vishny, R. (1998). </w:t>
      </w:r>
      <w:r>
        <w:rPr>
          <w:sz w:val="20"/>
        </w:rPr>
        <w:t>Journal of Financial Economics, 49(3), 307-343</w:t>
      </w:r>
    </w:p>
    <w:p>
      <w:pPr>
        <w:ind w:left="288"/>
      </w:pPr>
      <w:r>
        <w:rPr>
          <w:rFonts w:ascii="Consolas" w:hAnsi="Consolas"/>
          <w:color w:val="06B6D4"/>
          <w:sz w:val="18"/>
        </w:rPr>
        <w:t>📄 11_Barberis_Shleifer_Vishny_1998_InvestorSentiment.pdf</w:t>
      </w:r>
    </w:p>
    <w:p>
      <w:pPr>
        <w:ind w:left="288"/>
      </w:pPr>
      <w:r>
        <w:rPr>
          <w:b/>
          <w:color w:val="666666"/>
          <w:sz w:val="18"/>
        </w:rPr>
        <w:t>Applies to:</w:t>
      </w:r>
    </w:p>
    <w:p>
      <w:pPr>
        <w:pStyle w:val="ListBullet"/>
        <w:ind w:left="576"/>
      </w:pPr>
      <w:r>
        <w:rPr>
          <w:sz w:val="19"/>
        </w:rPr>
        <w:t>Pre-Momentum 4-Agent의 'underreaction' 가정</w:t>
      </w:r>
    </w:p>
    <w:p>
      <w:pPr>
        <w:pStyle w:val="ListBullet"/>
        <w:ind w:left="576"/>
      </w:pPr>
      <w:r>
        <w:rPr>
          <w:sz w:val="19"/>
        </w:rPr>
        <w:t>Microstructure Agent — 변동성 압축, 축적 패턴 (psychological anchoring)</w:t>
      </w:r>
    </w:p>
    <w:p>
      <w:pPr>
        <w:pStyle w:val="ListBullet"/>
        <w:ind w:left="576"/>
      </w:pPr>
      <w:r>
        <w:rPr>
          <w:sz w:val="19"/>
        </w:rPr>
        <w:t>investor sentiment shifts → momentum + reversal 모두 설명</w:t>
      </w:r>
    </w:p>
    <w:p/>
    <w:p>
      <w:pPr>
        <w:pStyle w:val="Heading2"/>
      </w:pPr>
      <w:r>
        <w:t>Behavioral (Information Diffusion)</w:t>
      </w:r>
    </w:p>
    <w:p>
      <w:r>
        <w:rPr>
          <w:b/>
          <w:color w:val="1F4E79"/>
          <w:sz w:val="22"/>
        </w:rPr>
        <w:t>[04] A Unified Theory of Underreaction, Momentum Trading, and Overreaction in Asset Markets</w:t>
      </w:r>
    </w:p>
    <w:p>
      <w:pPr>
        <w:ind w:left="288"/>
      </w:pPr>
      <w:r>
        <w:rPr>
          <w:i/>
          <w:sz w:val="20"/>
        </w:rPr>
        <w:t xml:space="preserve">Hong, H. &amp; Stein, J. C. (1999). </w:t>
      </w:r>
      <w:r>
        <w:rPr>
          <w:sz w:val="20"/>
        </w:rPr>
        <w:t>Journal of Finance, 54(6), 2143-2184</w:t>
      </w:r>
    </w:p>
    <w:p>
      <w:pPr>
        <w:ind w:left="288"/>
      </w:pPr>
      <w:r>
        <w:rPr>
          <w:rFonts w:ascii="Consolas" w:hAnsi="Consolas"/>
          <w:color w:val="06B6D4"/>
          <w:sz w:val="18"/>
        </w:rPr>
        <w:t>📄 04_Hong_Stein_1999_UnifiedTheory.pdf</w:t>
      </w:r>
    </w:p>
    <w:p>
      <w:pPr>
        <w:ind w:left="288"/>
      </w:pPr>
      <w:r>
        <w:rPr>
          <w:b/>
          <w:color w:val="666666"/>
          <w:sz w:val="18"/>
        </w:rPr>
        <w:t>Applies to:</w:t>
      </w:r>
    </w:p>
    <w:p>
      <w:pPr>
        <w:pStyle w:val="ListBullet"/>
        <w:ind w:left="576"/>
      </w:pPr>
      <w:r>
        <w:rPr>
          <w:sz w:val="19"/>
        </w:rPr>
        <w:t>Graph Relational Agent — peer momentum 전파, lead-lag 효과</w:t>
      </w:r>
    </w:p>
    <w:p>
      <w:pPr>
        <w:pStyle w:val="ListBullet"/>
        <w:ind w:left="576"/>
      </w:pPr>
      <w:r>
        <w:rPr>
          <w:sz w:val="19"/>
        </w:rPr>
        <w:t>정보 확산 지연 → 후행 종목 LAGGING_CATCHUP 분류 근거</w:t>
      </w:r>
    </w:p>
    <w:p>
      <w:pPr>
        <w:pStyle w:val="ListBullet"/>
        <w:ind w:left="576"/>
      </w:pPr>
      <w:r>
        <w:rPr>
          <w:sz w:val="19"/>
        </w:rPr>
        <w:t>newswatchers + momentum traders 공존 모델</w:t>
      </w:r>
    </w:p>
    <w:p/>
    <w:p>
      <w:pPr>
        <w:pStyle w:val="Heading2"/>
      </w:pPr>
      <w:r>
        <w:t>Behavioral (Overconfidence)</w:t>
      </w:r>
    </w:p>
    <w:p>
      <w:r>
        <w:rPr>
          <w:b/>
          <w:color w:val="1F4E79"/>
          <w:sz w:val="22"/>
        </w:rPr>
        <w:t>[12] Investor Psychology and Security Market Under- and Overreactions</w:t>
      </w:r>
    </w:p>
    <w:p>
      <w:pPr>
        <w:ind w:left="288"/>
      </w:pPr>
      <w:r>
        <w:rPr>
          <w:i/>
          <w:sz w:val="20"/>
        </w:rPr>
        <w:t xml:space="preserve">Daniel, K. D., Hirshleifer, D., &amp; Subrahmanyam, A. (1998). </w:t>
      </w:r>
      <w:r>
        <w:rPr>
          <w:sz w:val="20"/>
        </w:rPr>
        <w:t>Journal of Finance, 53(6), 1839-1885</w:t>
      </w:r>
    </w:p>
    <w:p>
      <w:pPr>
        <w:ind w:left="288"/>
      </w:pPr>
      <w:r>
        <w:rPr>
          <w:rFonts w:ascii="Consolas" w:hAnsi="Consolas"/>
          <w:color w:val="06B6D4"/>
          <w:sz w:val="18"/>
        </w:rPr>
        <w:t>📄 12_Daniel_Hirshleifer_Subrahmanyam_1998_InvestorPsychology.pdf</w:t>
      </w:r>
    </w:p>
    <w:p>
      <w:pPr>
        <w:ind w:left="288"/>
      </w:pPr>
      <w:r>
        <w:rPr>
          <w:b/>
          <w:color w:val="666666"/>
          <w:sz w:val="18"/>
        </w:rPr>
        <w:t>Applies to:</w:t>
      </w:r>
    </w:p>
    <w:p>
      <w:pPr>
        <w:pStyle w:val="ListBullet"/>
        <w:ind w:left="576"/>
      </w:pPr>
      <w:r>
        <w:rPr>
          <w:sz w:val="19"/>
        </w:rPr>
        <w:t>단기 momentum + 장기 reversal 동시 설명 (overconfidence bias)</w:t>
      </w:r>
    </w:p>
    <w:p>
      <w:pPr>
        <w:pStyle w:val="ListBullet"/>
        <w:ind w:left="576"/>
      </w:pPr>
      <w:r>
        <w:rPr>
          <w:sz w:val="19"/>
        </w:rPr>
        <w:t>OER (Overextension Risk) 설계 — 자기귀인편향 후 mean reversion</w:t>
      </w:r>
    </w:p>
    <w:p>
      <w:pPr>
        <w:pStyle w:val="ListBullet"/>
        <w:ind w:left="576"/>
      </w:pPr>
      <w:r>
        <w:rPr>
          <w:sz w:val="19"/>
        </w:rPr>
        <w:t>Conviction levels (HIGH/MEDIUM/LOW) — 신호 합의도</w:t>
      </w:r>
    </w:p>
    <w:p/>
    <w:p>
      <w:pPr>
        <w:pStyle w:val="Heading2"/>
      </w:pPr>
      <w:r>
        <w:t>Behavioral (Overreaction)</w:t>
      </w:r>
    </w:p>
    <w:p>
      <w:r>
        <w:rPr>
          <w:b/>
          <w:color w:val="1F4E79"/>
          <w:sz w:val="22"/>
        </w:rPr>
        <w:t>[19] Does the Stock Market Overreact?</w:t>
      </w:r>
    </w:p>
    <w:p>
      <w:pPr>
        <w:ind w:left="288"/>
      </w:pPr>
      <w:r>
        <w:rPr>
          <w:i/>
          <w:sz w:val="20"/>
        </w:rPr>
        <w:t xml:space="preserve">De Bondt, W. F. M. &amp; Thaler, R. (1985). </w:t>
      </w:r>
      <w:r>
        <w:rPr>
          <w:sz w:val="20"/>
        </w:rPr>
        <w:t>Journal of Finance, 40(3), 793-805</w:t>
      </w:r>
    </w:p>
    <w:p>
      <w:pPr>
        <w:ind w:left="288"/>
      </w:pPr>
      <w:r>
        <w:rPr>
          <w:rFonts w:ascii="Consolas" w:hAnsi="Consolas"/>
          <w:color w:val="06B6D4"/>
          <w:sz w:val="18"/>
        </w:rPr>
        <w:t>📄 19_DeBondt_Thaler_1985_StockMarketOverreact.pdf</w:t>
      </w:r>
    </w:p>
    <w:p>
      <w:pPr>
        <w:ind w:left="288"/>
      </w:pPr>
      <w:r>
        <w:rPr>
          <w:b/>
          <w:color w:val="666666"/>
          <w:sz w:val="18"/>
        </w:rPr>
        <w:t>Applies to:</w:t>
      </w:r>
    </w:p>
    <w:p>
      <w:pPr>
        <w:pStyle w:val="ListBullet"/>
        <w:ind w:left="576"/>
      </w:pPr>
      <w:r>
        <w:rPr>
          <w:sz w:val="19"/>
        </w:rPr>
        <w:t>Long-term reversal — 36-12M reversal_pctile 사용</w:t>
      </w:r>
    </w:p>
    <w:p>
      <w:pPr>
        <w:pStyle w:val="ListBullet"/>
        <w:ind w:left="576"/>
      </w:pPr>
      <w:r>
        <w:rPr>
          <w:sz w:val="19"/>
        </w:rPr>
        <w:t>CYCLE_PEAK 분류의 행동학적 근거</w:t>
      </w:r>
    </w:p>
    <w:p>
      <w:pPr>
        <w:pStyle w:val="ListBullet"/>
        <w:ind w:left="576"/>
      </w:pPr>
      <w:r>
        <w:rPr>
          <w:sz w:val="19"/>
        </w:rPr>
        <w:t>Loser portfolio 반등 → COUNTER_RALLY/RECOVERY 분류</w:t>
      </w:r>
    </w:p>
    <w:p/>
    <w:p>
      <w:pPr>
        <w:pStyle w:val="Heading2"/>
      </w:pPr>
      <w:r>
        <w:t>Factor Model (Foundational)</w:t>
      </w:r>
    </w:p>
    <w:p>
      <w:r>
        <w:rPr>
          <w:b/>
          <w:color w:val="1F4E79"/>
          <w:sz w:val="22"/>
        </w:rPr>
        <w:t>[07] Common Risk Factors in the Returns on Stocks and Bonds</w:t>
      </w:r>
    </w:p>
    <w:p>
      <w:pPr>
        <w:ind w:left="288"/>
      </w:pPr>
      <w:r>
        <w:rPr>
          <w:i/>
          <w:sz w:val="20"/>
        </w:rPr>
        <w:t xml:space="preserve">Fama, E. F. &amp; French, K. R. (1993). </w:t>
      </w:r>
      <w:r>
        <w:rPr>
          <w:sz w:val="20"/>
        </w:rPr>
        <w:t>Journal of Financial Economics, 33(1), 3-56</w:t>
      </w:r>
    </w:p>
    <w:p>
      <w:pPr>
        <w:ind w:left="288"/>
      </w:pPr>
      <w:r>
        <w:rPr>
          <w:rFonts w:ascii="Consolas" w:hAnsi="Consolas"/>
          <w:color w:val="06B6D4"/>
          <w:sz w:val="18"/>
        </w:rPr>
        <w:t>📄 07_Fama_French_1993_3Factor.pdf</w:t>
      </w:r>
    </w:p>
    <w:p>
      <w:pPr>
        <w:ind w:left="288"/>
      </w:pPr>
      <w:r>
        <w:rPr>
          <w:b/>
          <w:color w:val="666666"/>
          <w:sz w:val="18"/>
        </w:rPr>
        <w:t>Applies to:</w:t>
      </w:r>
    </w:p>
    <w:p>
      <w:pPr>
        <w:pStyle w:val="ListBullet"/>
        <w:ind w:left="576"/>
      </w:pPr>
      <w:r>
        <w:rPr>
          <w:sz w:val="19"/>
        </w:rPr>
        <w:t>Multi-factor model 기반 (Composite Score 가중 합)</w:t>
      </w:r>
    </w:p>
    <w:p>
      <w:pPr>
        <w:pStyle w:val="ListBullet"/>
        <w:ind w:left="576"/>
      </w:pPr>
      <w:r>
        <w:rPr>
          <w:sz w:val="19"/>
        </w:rPr>
        <w:t>Sector / Size 매핑 → benchmark 대비 excess return</w:t>
      </w:r>
    </w:p>
    <w:p>
      <w:pPr>
        <w:pStyle w:val="ListBullet"/>
        <w:ind w:left="576"/>
      </w:pPr>
      <w:r>
        <w:rPr>
          <w:sz w:val="19"/>
        </w:rPr>
        <w:t>Factor Efficacy 탭의 PCA factor 분석 근거</w:t>
      </w:r>
    </w:p>
    <w:p/>
    <w:p>
      <w:pPr>
        <w:pStyle w:val="Heading2"/>
      </w:pPr>
      <w:r>
        <w:t>Factor Model (Methodology)</w:t>
      </w:r>
    </w:p>
    <w:p>
      <w:r>
        <w:rPr>
          <w:b/>
          <w:color w:val="1F4E79"/>
          <w:sz w:val="22"/>
        </w:rPr>
        <w:t>[08] Risk, Return, and Equilibrium: Empirical Tests</w:t>
      </w:r>
    </w:p>
    <w:p>
      <w:pPr>
        <w:ind w:left="288"/>
      </w:pPr>
      <w:r>
        <w:rPr>
          <w:i/>
          <w:sz w:val="20"/>
        </w:rPr>
        <w:t xml:space="preserve">Fama, E. F. &amp; MacBeth, J. D. (1973). </w:t>
      </w:r>
      <w:r>
        <w:rPr>
          <w:sz w:val="20"/>
        </w:rPr>
        <w:t>Journal of Political Economy, 81(3), 607-636</w:t>
      </w:r>
    </w:p>
    <w:p>
      <w:pPr>
        <w:ind w:left="288"/>
      </w:pPr>
      <w:r>
        <w:rPr>
          <w:rFonts w:ascii="Consolas" w:hAnsi="Consolas"/>
          <w:color w:val="06B6D4"/>
          <w:sz w:val="18"/>
        </w:rPr>
        <w:t>📄 08_Fama_MacBeth_1973_RiskReturn.pdf</w:t>
      </w:r>
    </w:p>
    <w:p>
      <w:pPr>
        <w:ind w:left="288"/>
      </w:pPr>
      <w:r>
        <w:rPr>
          <w:b/>
          <w:color w:val="666666"/>
          <w:sz w:val="18"/>
        </w:rPr>
        <w:t>Applies to:</w:t>
      </w:r>
    </w:p>
    <w:p>
      <w:pPr>
        <w:pStyle w:val="ListBullet"/>
        <w:ind w:left="576"/>
      </w:pPr>
      <w:r>
        <w:rPr>
          <w:sz w:val="19"/>
        </w:rPr>
        <w:t>Cross-sectional regression methodology (Factor Efficacy 탭)</w:t>
      </w:r>
    </w:p>
    <w:p>
      <w:pPr>
        <w:pStyle w:val="ListBullet"/>
        <w:ind w:left="576"/>
      </w:pPr>
      <w:r>
        <w:rPr>
          <w:sz w:val="19"/>
        </w:rPr>
        <w:t>Two-pass procedure: time-series β 추정 → cross-sectional λ</w:t>
      </w:r>
    </w:p>
    <w:p>
      <w:pPr>
        <w:pStyle w:val="ListBullet"/>
        <w:ind w:left="576"/>
      </w:pPr>
      <w:r>
        <w:rPr>
          <w:sz w:val="19"/>
        </w:rPr>
        <w:t>Factor premium 통계적 유의성 검정</w:t>
      </w:r>
    </w:p>
    <w:p/>
    <w:p>
      <w:pPr>
        <w:pStyle w:val="Heading2"/>
      </w:pPr>
      <w:r>
        <w:t>Factor Model (Momentum Factor)</w:t>
      </w:r>
    </w:p>
    <w:p>
      <w:r>
        <w:rPr>
          <w:b/>
          <w:color w:val="1F4E79"/>
          <w:sz w:val="22"/>
        </w:rPr>
        <w:t>[09] On Persistence in Mutual Fund Performance</w:t>
      </w:r>
    </w:p>
    <w:p>
      <w:pPr>
        <w:ind w:left="288"/>
      </w:pPr>
      <w:r>
        <w:rPr>
          <w:i/>
          <w:sz w:val="20"/>
        </w:rPr>
        <w:t xml:space="preserve">Carhart, M. M. (1997). </w:t>
      </w:r>
      <w:r>
        <w:rPr>
          <w:sz w:val="20"/>
        </w:rPr>
        <w:t>Journal of Finance, 52(1), 57-82</w:t>
      </w:r>
    </w:p>
    <w:p>
      <w:pPr>
        <w:ind w:left="288"/>
      </w:pPr>
      <w:r>
        <w:rPr>
          <w:rFonts w:ascii="Consolas" w:hAnsi="Consolas"/>
          <w:color w:val="06B6D4"/>
          <w:sz w:val="18"/>
        </w:rPr>
        <w:t>📄 09_Carhart_1997_MutualFundPersistence.pdf</w:t>
      </w:r>
    </w:p>
    <w:p>
      <w:pPr>
        <w:ind w:left="288"/>
      </w:pPr>
      <w:r>
        <w:rPr>
          <w:b/>
          <w:color w:val="666666"/>
          <w:sz w:val="18"/>
        </w:rPr>
        <w:t>Applies to:</w:t>
      </w:r>
    </w:p>
    <w:p>
      <w:pPr>
        <w:pStyle w:val="ListBullet"/>
        <w:ind w:left="576"/>
      </w:pPr>
      <w:r>
        <w:rPr>
          <w:sz w:val="19"/>
        </w:rPr>
        <w:t>4-factor model (Mkt + SMB + HML + UMD/Momentum)</w:t>
      </w:r>
    </w:p>
    <w:p>
      <w:pPr>
        <w:pStyle w:val="ListBullet"/>
        <w:ind w:left="576"/>
      </w:pPr>
      <w:r>
        <w:rPr>
          <w:sz w:val="19"/>
        </w:rPr>
        <w:t>Hedge strategy 가중치 — Momentum factor 비중 1.5x (O'Neil)</w:t>
      </w:r>
    </w:p>
    <w:p>
      <w:pPr>
        <w:pStyle w:val="ListBullet"/>
        <w:ind w:left="576"/>
      </w:pPr>
      <w:r>
        <w:rPr>
          <w:sz w:val="19"/>
        </w:rPr>
        <w:t>Performance persistence 분석 (Validation 탭)</w:t>
      </w:r>
    </w:p>
    <w:p/>
    <w:p>
      <w:pPr>
        <w:pStyle w:val="Heading2"/>
      </w:pPr>
      <w:r>
        <w:t>Factor Model (Quality)</w:t>
      </w:r>
    </w:p>
    <w:p>
      <w:r>
        <w:rPr>
          <w:b/>
          <w:color w:val="1F4E79"/>
          <w:sz w:val="22"/>
        </w:rPr>
        <w:t>[14] Quality Minus Junk</w:t>
      </w:r>
    </w:p>
    <w:p>
      <w:pPr>
        <w:ind w:left="288"/>
      </w:pPr>
      <w:r>
        <w:rPr>
          <w:i/>
          <w:sz w:val="20"/>
        </w:rPr>
        <w:t xml:space="preserve">Asness, C. S., Frazzini, A., &amp; Pedersen, L. H. (2014). </w:t>
      </w:r>
      <w:r>
        <w:rPr>
          <w:sz w:val="20"/>
        </w:rPr>
        <w:t>Review of Accounting Studies, 24(1), 34-112</w:t>
      </w:r>
    </w:p>
    <w:p>
      <w:pPr>
        <w:ind w:left="288"/>
      </w:pPr>
      <w:r>
        <w:rPr>
          <w:rFonts w:ascii="Consolas" w:hAnsi="Consolas"/>
          <w:color w:val="06B6D4"/>
          <w:sz w:val="18"/>
        </w:rPr>
        <w:t>📄 14_Asness_Frazzini_Pedersen_2014_QualityMinusJunk.pdf</w:t>
      </w:r>
    </w:p>
    <w:p>
      <w:pPr>
        <w:ind w:left="288"/>
      </w:pPr>
      <w:r>
        <w:rPr>
          <w:b/>
          <w:color w:val="666666"/>
          <w:sz w:val="18"/>
        </w:rPr>
        <w:t>Applies to:</w:t>
      </w:r>
    </w:p>
    <w:p>
      <w:pPr>
        <w:pStyle w:val="ListBullet"/>
        <w:ind w:left="576"/>
      </w:pPr>
      <w:r>
        <w:rPr>
          <w:sz w:val="19"/>
        </w:rPr>
        <w:t>Structural Quality (structural_q) 점수 — 종목별 quality 측정</w:t>
      </w:r>
    </w:p>
    <w:p>
      <w:pPr>
        <w:pStyle w:val="ListBullet"/>
        <w:ind w:left="576"/>
      </w:pPr>
      <w:r>
        <w:rPr>
          <w:sz w:val="19"/>
        </w:rPr>
        <w:t>Pre-Momentum Microstructure: structural_divergence 신호</w:t>
      </w:r>
    </w:p>
    <w:p>
      <w:pPr>
        <w:pStyle w:val="ListBullet"/>
        <w:ind w:left="576"/>
      </w:pPr>
      <w:r>
        <w:rPr>
          <w:sz w:val="19"/>
        </w:rPr>
        <w:t>Quality factor — 안전/수익성/성장/관리 4축</w:t>
      </w:r>
    </w:p>
    <w:p/>
    <w:p>
      <w:pPr>
        <w:pStyle w:val="Heading2"/>
      </w:pPr>
      <w:r>
        <w:t>Factor Model (BAB)</w:t>
      </w:r>
    </w:p>
    <w:p>
      <w:r>
        <w:rPr>
          <w:b/>
          <w:color w:val="1F4E79"/>
          <w:sz w:val="22"/>
        </w:rPr>
        <w:t>[15] Betting Against Beta</w:t>
      </w:r>
    </w:p>
    <w:p>
      <w:pPr>
        <w:ind w:left="288"/>
      </w:pPr>
      <w:r>
        <w:rPr>
          <w:i/>
          <w:sz w:val="20"/>
        </w:rPr>
        <w:t xml:space="preserve">Frazzini, A. &amp; Pedersen, L. H. (2014). </w:t>
      </w:r>
      <w:r>
        <w:rPr>
          <w:sz w:val="20"/>
        </w:rPr>
        <w:t>Journal of Financial Economics, 111(1), 1-25</w:t>
      </w:r>
    </w:p>
    <w:p>
      <w:pPr>
        <w:ind w:left="288"/>
      </w:pPr>
      <w:r>
        <w:rPr>
          <w:rFonts w:ascii="Consolas" w:hAnsi="Consolas"/>
          <w:color w:val="06B6D4"/>
          <w:sz w:val="18"/>
        </w:rPr>
        <w:t>📄 15_Frazzini_Pedersen_2014_BettingAgainstBeta.pdf</w:t>
      </w:r>
    </w:p>
    <w:p>
      <w:pPr>
        <w:ind w:left="288"/>
      </w:pPr>
      <w:r>
        <w:rPr>
          <w:b/>
          <w:color w:val="666666"/>
          <w:sz w:val="18"/>
        </w:rPr>
        <w:t>Applies to:</w:t>
      </w:r>
    </w:p>
    <w:p>
      <w:pPr>
        <w:pStyle w:val="ListBullet"/>
        <w:ind w:left="576"/>
      </w:pPr>
      <w:r>
        <w:rPr>
          <w:sz w:val="19"/>
        </w:rPr>
        <w:t>Beta-adjusted strategy — vol-normalized momentum</w:t>
      </w:r>
    </w:p>
    <w:p>
      <w:pPr>
        <w:pStyle w:val="ListBullet"/>
        <w:ind w:left="576"/>
      </w:pPr>
      <w:r>
        <w:rPr>
          <w:sz w:val="19"/>
        </w:rPr>
        <w:t>Pre-Momentum Catalyst: vol_adj_mom 신호</w:t>
      </w:r>
    </w:p>
    <w:p>
      <w:pPr>
        <w:pStyle w:val="ListBullet"/>
        <w:ind w:left="576"/>
      </w:pPr>
      <w:r>
        <w:rPr>
          <w:sz w:val="19"/>
        </w:rPr>
        <w:t>Low-beta anomaly → 시장 레짐 어댑티브 가중치</w:t>
      </w:r>
    </w:p>
    <w:p/>
    <w:p>
      <w:pPr>
        <w:pStyle w:val="Heading2"/>
      </w:pPr>
      <w:r>
        <w:t>Technical Analysis (Foundational)</w:t>
      </w:r>
    </w:p>
    <w:p>
      <w:r>
        <w:rPr>
          <w:b/>
          <w:color w:val="1F4E79"/>
          <w:sz w:val="22"/>
        </w:rPr>
        <w:t>[10] Foundations of Technical Analysis: Computational Algorithms, Statistical Inference, and Empirical Implementation</w:t>
      </w:r>
    </w:p>
    <w:p>
      <w:pPr>
        <w:ind w:left="288"/>
      </w:pPr>
      <w:r>
        <w:rPr>
          <w:i/>
          <w:sz w:val="20"/>
        </w:rPr>
        <w:t xml:space="preserve">Lo, A. W., Mamaysky, H., &amp; Wang, J. (2000). </w:t>
      </w:r>
      <w:r>
        <w:rPr>
          <w:sz w:val="20"/>
        </w:rPr>
        <w:t>Journal of Finance, 55(4), 1705-1765</w:t>
      </w:r>
    </w:p>
    <w:p>
      <w:pPr>
        <w:ind w:left="288"/>
      </w:pPr>
      <w:r>
        <w:rPr>
          <w:rFonts w:ascii="Consolas" w:hAnsi="Consolas"/>
          <w:color w:val="06B6D4"/>
          <w:sz w:val="18"/>
        </w:rPr>
        <w:t>📄 10_Lo_Mamaysky_Wang_2000_TechnicalAnalysis.pdf</w:t>
      </w:r>
    </w:p>
    <w:p>
      <w:pPr>
        <w:ind w:left="288"/>
      </w:pPr>
      <w:r>
        <w:rPr>
          <w:b/>
          <w:color w:val="666666"/>
          <w:sz w:val="18"/>
        </w:rPr>
        <w:t>Applies to:</w:t>
      </w:r>
    </w:p>
    <w:p>
      <w:pPr>
        <w:pStyle w:val="ListBullet"/>
        <w:ind w:left="576"/>
      </w:pPr>
      <w:r>
        <w:rPr>
          <w:sz w:val="19"/>
        </w:rPr>
        <w:t>기술적 분석의 학술적 정당성</w:t>
      </w:r>
    </w:p>
    <w:p>
      <w:pPr>
        <w:pStyle w:val="ListBullet"/>
        <w:ind w:left="576"/>
      </w:pPr>
      <w:r>
        <w:rPr>
          <w:sz w:val="19"/>
        </w:rPr>
        <w:t>Pattern recognition (Wyckoff/Darvas/Ichimoku)</w:t>
      </w:r>
    </w:p>
    <w:p>
      <w:pPr>
        <w:pStyle w:val="ListBullet"/>
        <w:ind w:left="576"/>
      </w:pPr>
      <w:r>
        <w:rPr>
          <w:sz w:val="19"/>
        </w:rPr>
        <w:t>8-Hedge Strategy의 학술적 근거</w:t>
      </w:r>
    </w:p>
    <w:p>
      <w:pPr>
        <w:pStyle w:val="ListBullet"/>
        <w:ind w:left="576"/>
      </w:pPr>
      <w:r>
        <w:rPr>
          <w:sz w:val="19"/>
        </w:rPr>
        <w:t>SMA, RSI 등 indicator의 통계적 유의성</w:t>
      </w:r>
    </w:p>
    <w:p/>
    <w:p>
      <w:pPr>
        <w:pStyle w:val="Heading2"/>
      </w:pPr>
      <w:r>
        <w:t>Technical Analysis (MA Rules)</w:t>
      </w:r>
    </w:p>
    <w:p>
      <w:r>
        <w:rPr>
          <w:b/>
          <w:color w:val="1F4E79"/>
          <w:sz w:val="22"/>
        </w:rPr>
        <w:t>[13] Simple Technical Trading Rules and the Stochastic Properties of Stock Returns</w:t>
      </w:r>
    </w:p>
    <w:p>
      <w:pPr>
        <w:ind w:left="288"/>
      </w:pPr>
      <w:r>
        <w:rPr>
          <w:i/>
          <w:sz w:val="20"/>
        </w:rPr>
        <w:t xml:space="preserve">Brock, W., Lakonishok, J., &amp; LeBaron, B. (1992). </w:t>
      </w:r>
      <w:r>
        <w:rPr>
          <w:sz w:val="20"/>
        </w:rPr>
        <w:t>Journal of Finance, 47(5), 1731-1764</w:t>
      </w:r>
    </w:p>
    <w:p>
      <w:pPr>
        <w:ind w:left="288"/>
      </w:pPr>
      <w:r>
        <w:rPr>
          <w:rFonts w:ascii="Consolas" w:hAnsi="Consolas"/>
          <w:color w:val="06B6D4"/>
          <w:sz w:val="18"/>
        </w:rPr>
        <w:t>📄 13_Brock_Lakonishok_LeBaron_1992_TechnicalRules.pdf</w:t>
      </w:r>
    </w:p>
    <w:p>
      <w:pPr>
        <w:ind w:left="288"/>
      </w:pPr>
      <w:r>
        <w:rPr>
          <w:b/>
          <w:color w:val="666666"/>
          <w:sz w:val="18"/>
        </w:rPr>
        <w:t>Applies to:</w:t>
      </w:r>
    </w:p>
    <w:p>
      <w:pPr>
        <w:pStyle w:val="ListBullet"/>
        <w:ind w:left="576"/>
      </w:pPr>
      <w:r>
        <w:rPr>
          <w:sz w:val="19"/>
        </w:rPr>
        <w:t>Moving Average crossover rules — SMA20/50/200 사용</w:t>
      </w:r>
    </w:p>
    <w:p>
      <w:pPr>
        <w:pStyle w:val="ListBullet"/>
        <w:ind w:left="576"/>
      </w:pPr>
      <w:r>
        <w:rPr>
          <w:sz w:val="19"/>
        </w:rPr>
        <w:t>TCS / TFS 점수의 base 신호 (above_sma50, sma50_slope 등)</w:t>
      </w:r>
    </w:p>
    <w:p>
      <w:pPr>
        <w:pStyle w:val="ListBullet"/>
        <w:ind w:left="576"/>
      </w:pPr>
      <w:r>
        <w:rPr>
          <w:sz w:val="19"/>
        </w:rPr>
        <w:t>Trading range breakout — Darvas Box 전략</w:t>
      </w:r>
    </w:p>
    <w:p/>
    <w:p>
      <w:pPr>
        <w:pStyle w:val="Heading2"/>
      </w:pPr>
      <w:r>
        <w:t>Volatility (Foundational)</w:t>
      </w:r>
    </w:p>
    <w:p>
      <w:r>
        <w:rPr>
          <w:b/>
          <w:color w:val="1F4E79"/>
          <w:sz w:val="22"/>
        </w:rPr>
        <w:t>[18] Answering the Skeptics: Yes, Standard Volatility Models Do Provide Accurate Forecasts</w:t>
      </w:r>
    </w:p>
    <w:p>
      <w:pPr>
        <w:ind w:left="288"/>
      </w:pPr>
      <w:r>
        <w:rPr>
          <w:i/>
          <w:sz w:val="20"/>
        </w:rPr>
        <w:t xml:space="preserve">Andersen, T. G. &amp; Bollerslev, T. (1998). </w:t>
      </w:r>
      <w:r>
        <w:rPr>
          <w:sz w:val="20"/>
        </w:rPr>
        <w:t>International Economic Review, 39(4), 885-905</w:t>
      </w:r>
    </w:p>
    <w:p>
      <w:pPr>
        <w:ind w:left="288"/>
      </w:pPr>
      <w:r>
        <w:rPr>
          <w:rFonts w:ascii="Consolas" w:hAnsi="Consolas"/>
          <w:color w:val="06B6D4"/>
          <w:sz w:val="18"/>
        </w:rPr>
        <w:t>📄 18_Andersen_Bollerslev_1998_RealizedVolatility.pdf</w:t>
      </w:r>
    </w:p>
    <w:p>
      <w:pPr>
        <w:ind w:left="288"/>
      </w:pPr>
      <w:r>
        <w:rPr>
          <w:b/>
          <w:color w:val="666666"/>
          <w:sz w:val="18"/>
        </w:rPr>
        <w:t>Applies to:</w:t>
      </w:r>
    </w:p>
    <w:p>
      <w:pPr>
        <w:pStyle w:val="ListBullet"/>
        <w:ind w:left="576"/>
      </w:pPr>
      <w:r>
        <w:rPr>
          <w:sz w:val="19"/>
        </w:rPr>
        <w:t>realized_vol 측정 방법론</w:t>
      </w:r>
    </w:p>
    <w:p>
      <w:pPr>
        <w:pStyle w:val="ListBullet"/>
        <w:ind w:left="576"/>
      </w:pPr>
      <w:r>
        <w:rPr>
          <w:sz w:val="19"/>
        </w:rPr>
        <w:t>Phase 1 (Vol-adjusted buffer) — daily σ 계산</w:t>
      </w:r>
    </w:p>
    <w:p>
      <w:pPr>
        <w:pStyle w:val="ListBullet"/>
        <w:ind w:left="576"/>
      </w:pPr>
      <w:r>
        <w:rPr>
          <w:sz w:val="19"/>
        </w:rPr>
        <w:t>vol_3y_ann 칼럼의 학술적 근거</w:t>
      </w:r>
    </w:p>
    <w:p>
      <w:pPr>
        <w:pStyle w:val="ListBullet"/>
        <w:ind w:left="576"/>
      </w:pPr>
      <w:r>
        <w:rPr>
          <w:sz w:val="19"/>
        </w:rPr>
        <w:t>Variance Contraction Pattern (VCP)</w:t>
      </w:r>
    </w:p>
    <w:p/>
    <w:p>
      <w:pPr>
        <w:pStyle w:val="Heading2"/>
      </w:pPr>
      <w:r>
        <w:t>Risk-Adjusted Performance</w:t>
      </w:r>
    </w:p>
    <w:p>
      <w:r>
        <w:rPr>
          <w:b/>
          <w:color w:val="1F4E79"/>
          <w:sz w:val="22"/>
        </w:rPr>
        <w:t>[20] The Sharpe Ratio and the Information Ratio</w:t>
      </w:r>
    </w:p>
    <w:p>
      <w:pPr>
        <w:ind w:left="288"/>
      </w:pPr>
      <w:r>
        <w:rPr>
          <w:i/>
          <w:sz w:val="20"/>
        </w:rPr>
        <w:t xml:space="preserve">Kidd, D. (citing Sharpe 1994) (2011). </w:t>
      </w:r>
      <w:r>
        <w:rPr>
          <w:sz w:val="20"/>
        </w:rPr>
        <w:t>CFA Institute Investment Risk and Performance</w:t>
      </w:r>
    </w:p>
    <w:p>
      <w:pPr>
        <w:ind w:left="288"/>
      </w:pPr>
      <w:r>
        <w:rPr>
          <w:rFonts w:ascii="Consolas" w:hAnsi="Consolas"/>
          <w:color w:val="06B6D4"/>
          <w:sz w:val="18"/>
        </w:rPr>
        <w:t>📄 20_Kidd_SharpeRatio_InfoRatio.pdf</w:t>
      </w:r>
    </w:p>
    <w:p>
      <w:pPr>
        <w:ind w:left="288"/>
      </w:pPr>
      <w:r>
        <w:rPr>
          <w:b/>
          <w:color w:val="666666"/>
          <w:sz w:val="18"/>
        </w:rPr>
        <w:t>Applies to:</w:t>
      </w:r>
    </w:p>
    <w:p>
      <w:pPr>
        <w:pStyle w:val="ListBullet"/>
        <w:ind w:left="576"/>
      </w:pPr>
      <w:r>
        <w:rPr>
          <w:sz w:val="19"/>
        </w:rPr>
        <w:t>Sharpe Ratio 산출 — Validation 탭의 risk-adjusted metric</w:t>
      </w:r>
    </w:p>
    <w:p>
      <w:pPr>
        <w:pStyle w:val="ListBullet"/>
        <w:ind w:left="576"/>
      </w:pPr>
      <w:r>
        <w:rPr>
          <w:sz w:val="19"/>
        </w:rPr>
        <w:t>Information Ratio — Grinold's Fundamental Law (IC × √Breadth)</w:t>
      </w:r>
    </w:p>
    <w:p>
      <w:pPr>
        <w:pStyle w:val="ListBullet"/>
        <w:ind w:left="576"/>
      </w:pPr>
      <w:r>
        <w:rPr>
          <w:sz w:val="19"/>
        </w:rPr>
        <w:t>Pre-Momentum Conviction 정량화 근거</w:t>
      </w:r>
    </w:p>
    <w:p/>
    <w:p>
      <w:pPr>
        <w:pStyle w:val="Heading2"/>
      </w:pPr>
      <w:r>
        <w:t>Option Theory (Reference)</w:t>
      </w:r>
    </w:p>
    <w:p>
      <w:r>
        <w:rPr>
          <w:b/>
          <w:color w:val="1F4E79"/>
          <w:sz w:val="22"/>
        </w:rPr>
        <w:t>[17] The Pricing of Options and Corporate Liabilities</w:t>
      </w:r>
    </w:p>
    <w:p>
      <w:pPr>
        <w:ind w:left="288"/>
      </w:pPr>
      <w:r>
        <w:rPr>
          <w:i/>
          <w:sz w:val="20"/>
        </w:rPr>
        <w:t xml:space="preserve">Black, F. &amp; Scholes, M. (1973). </w:t>
      </w:r>
      <w:r>
        <w:rPr>
          <w:sz w:val="20"/>
        </w:rPr>
        <w:t>Journal of Political Economy, 81(3), 637-654</w:t>
      </w:r>
    </w:p>
    <w:p>
      <w:pPr>
        <w:ind w:left="288"/>
      </w:pPr>
      <w:r>
        <w:rPr>
          <w:rFonts w:ascii="Consolas" w:hAnsi="Consolas"/>
          <w:color w:val="06B6D4"/>
          <w:sz w:val="18"/>
        </w:rPr>
        <w:t>📄 17_Black_Scholes_1973_OptionPricing.pdf</w:t>
      </w:r>
    </w:p>
    <w:p>
      <w:pPr>
        <w:ind w:left="288"/>
      </w:pPr>
      <w:r>
        <w:rPr>
          <w:b/>
          <w:color w:val="666666"/>
          <w:sz w:val="18"/>
        </w:rPr>
        <w:t>Applies to:</w:t>
      </w:r>
    </w:p>
    <w:p>
      <w:pPr>
        <w:pStyle w:val="ListBullet"/>
        <w:ind w:left="576"/>
      </w:pPr>
      <w:r>
        <w:rPr>
          <w:sz w:val="19"/>
        </w:rPr>
        <w:t>변동성 측정의 이론적 근거</w:t>
      </w:r>
    </w:p>
    <w:p>
      <w:pPr>
        <w:pStyle w:val="ListBullet"/>
        <w:ind w:left="576"/>
      </w:pPr>
      <w:r>
        <w:rPr>
          <w:sz w:val="19"/>
        </w:rPr>
        <w:t>Put option hedging — Pipeline 탭의 HEDGE 액션 권고</w:t>
      </w:r>
    </w:p>
    <w:p>
      <w:pPr>
        <w:pStyle w:val="ListBullet"/>
        <w:ind w:left="576"/>
      </w:pPr>
      <w:r>
        <w:rPr>
          <w:sz w:val="19"/>
        </w:rPr>
        <w:t>Implied vol 개념 (향후 확장 가능)</w:t>
      </w:r>
    </w:p>
    <w:p/>
    <w:p>
      <w:pPr>
        <w:pStyle w:val="Heading1"/>
      </w:pPr>
      <w:r>
        <w:t>Citation-Only References (다운로드 불가)</w:t>
      </w:r>
    </w:p>
    <w:p>
      <w:r>
        <w:rPr>
          <w:sz w:val="20"/>
        </w:rPr>
        <w:t>다음 문헌들은 paywall, 사이트 차단, 또는 서적이라 직접 다운로드되지 않았습니다. URL이 있으면 방문하여 접근 가능합니다.</w:t>
      </w:r>
    </w:p>
    <w:p>
      <w:r>
        <w:rPr>
          <w:b/>
          <w:sz w:val="20"/>
        </w:rPr>
        <w:t>• Is Momentum Really Momentum?</w:t>
      </w:r>
    </w:p>
    <w:p>
      <w:pPr>
        <w:ind w:left="288"/>
      </w:pPr>
      <w:r>
        <w:rPr>
          <w:i/>
          <w:sz w:val="18"/>
        </w:rPr>
        <w:t>Novy-Marx, R. (2012). Journal of Financial Economics, 103(3), 429-453.</w:t>
      </w:r>
    </w:p>
    <w:p>
      <w:pPr>
        <w:ind w:left="288"/>
      </w:pPr>
      <w:r>
        <w:rPr>
          <w:color w:val="06B6D4"/>
          <w:sz w:val="18"/>
        </w:rPr>
        <w:t>URL: https://rnm.simon.rochester.edu/research/MOM.pdf</w:t>
      </w:r>
    </w:p>
    <w:p>
      <w:pPr>
        <w:ind w:left="288"/>
      </w:pPr>
      <w:r>
        <w:rPr>
          <w:sz w:val="18"/>
        </w:rPr>
        <w:t>Applies: Intermediate-horizon momentum (12-7M) → ret_36_12m, ret_12_1m 계산 정당성</w:t>
      </w:r>
    </w:p>
    <w:p>
      <w:pPr>
        <w:ind w:left="288"/>
      </w:pPr>
      <w:r>
        <w:rPr>
          <w:i/>
          <w:color w:val="996B00"/>
          <w:sz w:val="17"/>
        </w:rPr>
        <w:t>Note: 직접 다운로드 불가 (저자 사이트 차단). URL 방문 필요.</w:t>
      </w:r>
    </w:p>
    <w:p/>
    <w:p>
      <w:r>
        <w:rPr>
          <w:b/>
          <w:sz w:val="20"/>
        </w:rPr>
        <w:t>• The Sharpe Ratio (Original)</w:t>
      </w:r>
    </w:p>
    <w:p>
      <w:pPr>
        <w:ind w:left="288"/>
      </w:pPr>
      <w:r>
        <w:rPr>
          <w:i/>
          <w:sz w:val="18"/>
        </w:rPr>
        <w:t>Sharpe, W. F. (1994). Journal of Portfolio Management, 21(1), 49-58.</w:t>
      </w:r>
    </w:p>
    <w:p>
      <w:pPr>
        <w:ind w:left="288"/>
      </w:pPr>
      <w:r>
        <w:rPr>
          <w:color w:val="06B6D4"/>
          <w:sz w:val="18"/>
        </w:rPr>
        <w:t>URL: https://web.stanford.edu/~wfsharpe/art/sr/sr.htm</w:t>
      </w:r>
    </w:p>
    <w:p>
      <w:pPr>
        <w:ind w:left="288"/>
      </w:pPr>
      <w:r>
        <w:rPr>
          <w:sz w:val="18"/>
        </w:rPr>
        <w:t>Applies: Sharpe Ratio 정의 (web 버전 제공).</w:t>
      </w:r>
    </w:p>
    <w:p>
      <w:pPr>
        <w:ind w:left="288"/>
      </w:pPr>
      <w:r>
        <w:rPr>
          <w:i/>
          <w:color w:val="996B00"/>
          <w:sz w:val="17"/>
        </w:rPr>
        <w:t>Note: JPM 공식 버전은 paywalled — 위 URL의 web summary 참고.</w:t>
      </w:r>
    </w:p>
    <w:p/>
    <w:p>
      <w:r>
        <w:rPr>
          <w:b/>
          <w:sz w:val="20"/>
        </w:rPr>
        <w:t>• The Fundamental Law of Active Management</w:t>
      </w:r>
    </w:p>
    <w:p>
      <w:pPr>
        <w:ind w:left="288"/>
      </w:pPr>
      <w:r>
        <w:rPr>
          <w:i/>
          <w:sz w:val="18"/>
        </w:rPr>
        <w:t>Grinold, R. C. (1989). Journal of Portfolio Management, 15(3), 30-37.</w:t>
      </w:r>
    </w:p>
    <w:p>
      <w:pPr>
        <w:ind w:left="288"/>
      </w:pPr>
      <w:r>
        <w:rPr>
          <w:color w:val="06B6D4"/>
          <w:sz w:val="18"/>
        </w:rPr>
        <w:t>URL: https://jpm.pm-research.com/content/15/3/30</w:t>
      </w:r>
    </w:p>
    <w:p>
      <w:pPr>
        <w:ind w:left="288"/>
      </w:pPr>
      <w:r>
        <w:rPr>
          <w:sz w:val="18"/>
        </w:rPr>
        <w:t>Applies: Information Ratio = IC × √Breadth — Pre-Momentum scoring 정당화</w:t>
      </w:r>
    </w:p>
    <w:p>
      <w:pPr>
        <w:ind w:left="288"/>
      </w:pPr>
      <w:r>
        <w:rPr>
          <w:i/>
          <w:color w:val="996B00"/>
          <w:sz w:val="17"/>
        </w:rPr>
        <w:t>Note: Paywalled. AnalystPrep 등 secondary 자료 참고.</w:t>
      </w:r>
    </w:p>
    <w:p/>
    <w:p>
      <w:r>
        <w:rPr>
          <w:b/>
          <w:sz w:val="20"/>
        </w:rPr>
        <w:t>• New Concepts in Technical Trading Systems (book)</w:t>
      </w:r>
    </w:p>
    <w:p>
      <w:pPr>
        <w:ind w:left="288"/>
      </w:pPr>
      <w:r>
        <w:rPr>
          <w:i/>
          <w:sz w:val="18"/>
        </w:rPr>
        <w:t>Wilder, J. W. (1978). Trend Research.</w:t>
      </w:r>
    </w:p>
    <w:p>
      <w:pPr>
        <w:ind w:left="288"/>
      </w:pPr>
      <w:r>
        <w:rPr>
          <w:sz w:val="18"/>
        </w:rPr>
        <w:t>Applies: RSI (Relative Strength Index) 정의 — Hedge Strategy 입력</w:t>
      </w:r>
    </w:p>
    <w:p>
      <w:pPr>
        <w:ind w:left="288"/>
      </w:pPr>
      <w:r>
        <w:rPr>
          <w:i/>
          <w:color w:val="996B00"/>
          <w:sz w:val="17"/>
        </w:rPr>
        <w:t>Note: 도서. 14-day RSI 계산법 원전.</w:t>
      </w:r>
    </w:p>
    <w:p/>
    <w:p>
      <w:r>
        <w:rPr>
          <w:b/>
          <w:sz w:val="20"/>
        </w:rPr>
        <w:t>• VCP / SEPA</w:t>
      </w:r>
    </w:p>
    <w:p>
      <w:pPr>
        <w:ind w:left="288"/>
      </w:pPr>
      <w:r>
        <w:rPr>
          <w:i/>
          <w:sz w:val="18"/>
        </w:rPr>
        <w:t>Minervini, M. (2013). Trade Like a Stock Market Wizard (book).</w:t>
      </w:r>
    </w:p>
    <w:p>
      <w:pPr>
        <w:ind w:left="288"/>
      </w:pPr>
      <w:r>
        <w:rPr>
          <w:sz w:val="18"/>
        </w:rPr>
        <w:t>Applies: Hedge Strategy: Minervini SEPA Stage 2 template</w:t>
      </w:r>
    </w:p>
    <w:p>
      <w:pPr>
        <w:ind w:left="288"/>
      </w:pPr>
      <w:r>
        <w:rPr>
          <w:i/>
          <w:color w:val="996B00"/>
          <w:sz w:val="17"/>
        </w:rPr>
        <w:t>Note: 도서. 학술 reference 아님.</w:t>
      </w:r>
    </w:p>
    <w:p/>
    <w:p>
      <w:r>
        <w:rPr>
          <w:b/>
          <w:sz w:val="20"/>
        </w:rPr>
        <w:t>• How to Make Money in Stocks (CANSLIM)</w:t>
      </w:r>
    </w:p>
    <w:p>
      <w:pPr>
        <w:ind w:left="288"/>
      </w:pPr>
      <w:r>
        <w:rPr>
          <w:i/>
          <w:sz w:val="18"/>
        </w:rPr>
        <w:t>O'Neil, W. J. (1988). McGraw-Hill (book).</w:t>
      </w:r>
    </w:p>
    <w:p>
      <w:pPr>
        <w:ind w:left="288"/>
      </w:pPr>
      <w:r>
        <w:rPr>
          <w:sz w:val="18"/>
        </w:rPr>
        <w:t>Applies: Hedge Strategy: O'Neil CANSLIM 가중치 1.5x</w:t>
      </w:r>
    </w:p>
    <w:p>
      <w:pPr>
        <w:ind w:left="288"/>
      </w:pPr>
      <w:r>
        <w:rPr>
          <w:i/>
          <w:color w:val="996B00"/>
          <w:sz w:val="17"/>
        </w:rPr>
        <w:t>Note: 도서. CANSLIM 7-criteria framework.</w:t>
      </w:r>
    </w:p>
    <w:p/>
    <w:p>
      <w:pPr>
        <w:pStyle w:val="Heading1"/>
      </w:pPr>
      <w:r>
        <w:t>Folder Structure</w:t>
      </w:r>
    </w:p>
    <w:p>
      <w:r>
        <w:rPr>
          <w:sz w:val="20"/>
        </w:rPr>
        <w:t xml:space="preserve">모든 PDF는 </w:t>
      </w:r>
      <w:r>
        <w:rPr>
          <w:rFonts w:ascii="Consolas" w:hAnsi="Consolas"/>
          <w:color w:val="C7254E"/>
          <w:sz w:val="18"/>
        </w:rPr>
        <w:t>docs/references/</w:t>
      </w:r>
      <w:r>
        <w:rPr>
          <w:sz w:val="20"/>
        </w:rPr>
        <w:t xml:space="preserve"> 폴더에 저장되어 있습니다. 파일명은 </w:t>
      </w:r>
      <w:r>
        <w:rPr>
          <w:rFonts w:ascii="Consolas" w:hAnsi="Consolas"/>
          <w:color w:val="C7254E"/>
          <w:sz w:val="18"/>
        </w:rPr>
        <w:t>[ID]_[Authors]_[Year]_[ShortTitle].pdf</w:t>
      </w:r>
      <w:r>
        <w:rPr>
          <w:sz w:val="20"/>
        </w:rPr>
        <w:t xml:space="preserve"> 형식입니다.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