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WEEK 4 </w:t>
      </w:r>
      <w:commentRangeStart w:id="0"/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ASSESSME</w:t>
      </w: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JQUERY,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000000"/>
          <w:sz w:val="24"/>
          <w:szCs w:val="24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1ad0gsmhfai3" w:id="0"/>
      <w:bookmarkEnd w:id="0"/>
      <w:r w:rsidDel="00000000" w:rsidR="00000000" w:rsidRPr="00000000">
        <w:rPr>
          <w:rtl w:val="0"/>
        </w:rPr>
        <w:t xml:space="preserve">JavaScript, HTTP, JQuery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an IIFE and why do we use it?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are several benefits of using jQuery. List three.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this line using a jQuery selector: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document.getElementById('my-info');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this line using a jQuery selector: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document.getElementsByClassName('hero');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this line using a jQuery selector: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document.getElementsByTagName('li');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JSON object. It should have properties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"pairs"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"Vanilla Java Porter"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5.99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"pairs"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an array containing three items: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"pan-seared salmon"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"cayenne lime butter"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"pasta with cream sauce"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jQuery code so that when any button with class “bluish” is clicked, the background color of that button becomes blue and the text changes to “Clicked!”.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[3pts]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GET and POST?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Chrome makes a request, the first step is to determine which server to connect to. What part of the following URL identifies the server?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http://www.example.com:8080/products.html?search=shoes#p/1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few sentences, describe what each of the following jQuery code snippets do. (Hint: One is correct; the other has a logic error.) Explain what is wrong with the erroneous one.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$.get("http://library.example.com/api/books", function(resBody) {</w:t>
        <w:br w:type="textWrapping"/>
        <w:t xml:space="preserve">    console.log( resBody.books[0].title );</w:t>
        <w:br w:type="textWrapping"/>
        <w:t xml:space="preserve">});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books = $.get("http://library.example.com/api/books");</w:t>
        <w:br w:type="textWrapping"/>
        <w:t xml:space="preserve">console.log( books.title[0]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you already have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contains the parsed JSON from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Figure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(see reverse)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Write a line of JavaScript to log the value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"Animal Farm"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console using that variable.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Assume you already have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contains the parsed JSON from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Figure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(see reverse). Write a loop to log all three titles to the console.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Open Sans" w:cs="Open Sans" w:eastAsia="Open Sans" w:hAnsi="Open Sans"/>
                <w:i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u w:val="single"/>
                <w:rtl w:val="0"/>
              </w:rPr>
              <w:t xml:space="preserve">Figure 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"books": [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"The Origin of Species", "author": "Charles Darwin" },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"Animal Farm", "author": "George Orwell" },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"1984", "author": "George Orwell"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Wolverton" w:id="0" w:date="2017-08-01T02:17:4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 40 minutes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Open Sans" w:cs="Open Sans" w:eastAsia="Open Sans" w:hAnsi="Open Sans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example.com:8080/products.html?search=shoes#p/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