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  <w:u w:val="single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  <w:rtl w:val="0"/>
        </w:rPr>
        <w:t xml:space="preserve">WEEK 4 ASSMT. </w:t>
      </w: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  <w:u w:val="single"/>
          <w:rtl w:val="0"/>
        </w:rPr>
        <w:t xml:space="preserve">ANSWERS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color w:val="2a252d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"UI is a function of state" mean? When a change is made, (e.g. adding a contact) should your JavaScript code directly update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or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Look for something like this: The UI (or HTML) is determined by the state (or data). When the state/data changes, React automatically updates the UI/HTML. We don’t manipulate the HTML directly.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Your JS code should update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state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directly.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state and props?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State belongs to the component itself. The component can change its own state. Props are passed from a parent component. The component should not change its props.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very basic React component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produces an HTML greeting specific to that name. For example if called with name “Grant”, it will produce the HTML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&lt;h3&gt;Hello Grant!&lt;/h3&gt;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Greet extends Component {</w:t>
        <w:br w:type="textWrapping"/>
        <w:t xml:space="preserve">    render() {</w:t>
        <w:br w:type="textWrapping"/>
        <w:t xml:space="preserve">        return &lt;h3&gt;Hello {this.props.name}!&lt;/h3&gt;;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Greet = ({name}) =&gt; &lt;h3&gt;Hello {name}!&lt;/h3&gt;;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JSX that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component in question 3, passing it the name “World”.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&lt;Greet name="World" /&gt;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an array of objects. Each object in the array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Use JSX to create an ordered list of all the array items’ names. Use the items’ ids as keys.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&lt;ol&gt;</w:t>
        <w:br w:type="textWrapping"/>
        <w:t xml:space="preserve">    { this.props.things.map(item =&gt;</w:t>
        <w:br w:type="textWrapping"/>
        <w:t xml:space="preserve">        &lt;li key={item.id}&gt;{item.name}&lt;/li&gt;) }</w:t>
        <w:br w:type="textWrapping"/>
        <w:t xml:space="preserve">&lt;/ol&gt;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function. Using JSX, create a button that, when clicked, calls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The text on the button should be “Go”.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&lt;button onClick={this.props.onGo}&gt;Go&lt;/button&gt;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an HTML form text input change event handler, what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event.target.value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give you?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 gives you the value of the element that changed. Whatever the user has just entered.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Redux, we dispatch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(a)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________. When this happens the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(b)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 function is called to make updates to the state.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Actions / reducer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routing, clicking a &lt;Link&gt; component changes the ________.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URL path (just “URL” would also be acceptable)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Redux, we typically make 3 action functions for each AJAX call. What are the three, and what is the purpose of each?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fetch - trigger the process, make the request, and call the other two actions. REQUEST - Allow the reducer to update the state when the request starts loading. RECEIVE - Allow the reducer to update the state when the request finishes and brings back data.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They don’t have to use the exact words “fetch”, “request” and “receive”. But they should have the general concept for each of the three.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