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list-items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” that is nested in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element with a class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Taking the box model into account: If an element has a width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400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padding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px border, and margin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pixels. What is the total width of the element.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for an anchor element that will only apply its style when the user’s mouse passes over element.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50.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Construct an if statement to check if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is above or equal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60 (assume the temperature is in Farenheit)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If true,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‘You’ll be fine without a jacket.’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false, the script should log the message, 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It’s pretty cold out! Wear a jacket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 logs the integers from 1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0 to the con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sole. If a number is evenly divisible by 6, console.log the string “False” instead of the number.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will prompt the user to enter their name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Macho Man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findRemainder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This function should take two parameters and return parameter1 modulus parameter2.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variable called </w:t>
      </w:r>
      <w:commentRangeStart w:id="0"/>
      <w:r w:rsidDel="00000000" w:rsidR="00000000" w:rsidRPr="00000000">
        <w:rPr>
          <w:rFonts w:ascii="Consolas" w:cs="Consolas" w:eastAsia="Consolas" w:hAnsi="Consolas"/>
          <w:rtl w:val="0"/>
        </w:rPr>
        <w:t xml:space="preserve">movieNames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Add an object for each of these catalog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movies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2670"/>
        <w:gridCol w:w="2890"/>
        <w:tblGridChange w:id="0">
          <w:tblGrid>
            <w:gridCol w:w="3300"/>
            <w:gridCol w:w="2670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Movie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Year 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Breakfast Club”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“John Hughes”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Goonies”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“Richard Donner”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“Dirty Dancing”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“Emilie Ardolino”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movies name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1" name="image2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of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main-link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Add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all paragraph tags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make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GET request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to the url “http://example.com/json”.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og the data from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to the console.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color w:val="2a252d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“http://api.example.com/movies”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initialize a property on the scope called movies to the </w:t>
      </w:r>
      <w:commentRangeStart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response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[1pts total]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directive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restrict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w:commentRangeStart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templateUrl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partials/movie.html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directive to a view.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movies = [ "Breakfast Club", "Dirty Dancing", "The Goonies", "Jurassic Park", "8 Mile" ];</w:t>
        <w:br w:type="textWrapping"/>
        <w:t xml:space="preserve">  function checkMovies() {</w:t>
        <w:br w:type="textWrapping"/>
        <w:t xml:space="preserve">     movies.forEach(function(movie) {</w:t>
        <w:br w:type="textWrapping"/>
        <w:tab/>
        <w:t xml:space="preserve">    if(movie === “8 Mile”)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console.log(“Slim Shady is awesome”);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module.exports.movies = movies;</w:t>
        <w:br w:type="textWrapping"/>
        <w:t xml:space="preserve">     module.exports.checkMovies = checkMovies;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checkMovies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71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0" w:date="2017-08-25T14:44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a confusing name for this variable</w:t>
      </w:r>
    </w:p>
  </w:comment>
  <w:comment w:author="David Wolverton" w:id="2" w:date="2017-08-25T14:49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oops. I didn't prepare them for this switch-up.</w:t>
      </w:r>
    </w:p>
  </w:comment>
  <w:comment w:author="David Wolverton" w:id="1" w:date="2017-08-25T14:47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 wording here. response vs. data.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2" name="image4.png"/>
          <a:graphic>
            <a:graphicData uri="http://schemas.openxmlformats.org/drawingml/2006/picture">
              <pic:pic>
                <pic:nvPicPr>
                  <pic:cNvPr descr="GC-tent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