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44A8AA" w14:textId="77777777" w:rsidR="002868E5" w:rsidRDefault="002868E5" w:rsidP="002868E5">
      <w:pPr>
        <w:spacing w:line="360" w:lineRule="auto"/>
        <w:jc w:val="center"/>
        <w:rPr>
          <w:rFonts w:ascii="Times New Roman" w:hAnsi="Times New Roman" w:cs="Times New Roman"/>
          <w:b/>
          <w:bCs/>
        </w:rPr>
      </w:pPr>
    </w:p>
    <w:p w14:paraId="6FC0656B" w14:textId="77777777" w:rsidR="002868E5" w:rsidRDefault="002868E5" w:rsidP="002868E5">
      <w:pPr>
        <w:spacing w:line="360" w:lineRule="auto"/>
        <w:jc w:val="center"/>
        <w:rPr>
          <w:rFonts w:ascii="Times New Roman" w:hAnsi="Times New Roman" w:cs="Times New Roman"/>
          <w:b/>
          <w:bCs/>
        </w:rPr>
      </w:pPr>
    </w:p>
    <w:p w14:paraId="641164FF" w14:textId="77777777" w:rsidR="002868E5" w:rsidRPr="002868E5" w:rsidRDefault="002868E5" w:rsidP="002868E5">
      <w:pPr>
        <w:spacing w:line="360" w:lineRule="auto"/>
        <w:jc w:val="center"/>
        <w:rPr>
          <w:rFonts w:ascii="Times New Roman" w:hAnsi="Times New Roman" w:cs="Times New Roman"/>
          <w:b/>
          <w:bCs/>
          <w:sz w:val="36"/>
          <w:szCs w:val="36"/>
        </w:rPr>
      </w:pPr>
    </w:p>
    <w:p w14:paraId="140580E8" w14:textId="42FFA2B2" w:rsidR="002868E5" w:rsidRPr="002868E5" w:rsidRDefault="002868E5" w:rsidP="002868E5">
      <w:pPr>
        <w:spacing w:line="360" w:lineRule="auto"/>
        <w:jc w:val="center"/>
        <w:rPr>
          <w:rFonts w:ascii="Times New Roman" w:hAnsi="Times New Roman" w:cs="Times New Roman"/>
          <w:b/>
          <w:bCs/>
          <w:sz w:val="36"/>
          <w:szCs w:val="36"/>
        </w:rPr>
      </w:pPr>
      <w:r w:rsidRPr="002868E5">
        <w:rPr>
          <w:rFonts w:ascii="Times New Roman" w:hAnsi="Times New Roman" w:cs="Times New Roman"/>
          <w:b/>
          <w:bCs/>
          <w:sz w:val="36"/>
          <w:szCs w:val="36"/>
        </w:rPr>
        <w:t>Food Security and Nutritional Vulnerability in Ghana: Analytical Report</w:t>
      </w:r>
    </w:p>
    <w:p w14:paraId="5742888E" w14:textId="77777777" w:rsidR="002868E5" w:rsidRDefault="002868E5" w:rsidP="00476C35">
      <w:pPr>
        <w:spacing w:line="360" w:lineRule="auto"/>
        <w:jc w:val="center"/>
        <w:rPr>
          <w:rFonts w:ascii="Times New Roman" w:hAnsi="Times New Roman" w:cs="Times New Roman"/>
          <w:b/>
          <w:bCs/>
        </w:rPr>
      </w:pPr>
    </w:p>
    <w:p w14:paraId="4F39DB45" w14:textId="5CC72145" w:rsidR="002868E5" w:rsidRDefault="002868E5" w:rsidP="00476C35">
      <w:pPr>
        <w:spacing w:line="360" w:lineRule="auto"/>
        <w:jc w:val="center"/>
        <w:rPr>
          <w:rFonts w:ascii="Times New Roman" w:hAnsi="Times New Roman" w:cs="Times New Roman"/>
          <w:b/>
          <w:bCs/>
        </w:rPr>
      </w:pPr>
      <w:r>
        <w:rPr>
          <w:rFonts w:ascii="Times New Roman" w:hAnsi="Times New Roman" w:cs="Times New Roman"/>
          <w:b/>
          <w:bCs/>
        </w:rPr>
        <w:t>Team work:</w:t>
      </w:r>
    </w:p>
    <w:p w14:paraId="635456B2" w14:textId="104B8FC6" w:rsidR="002868E5" w:rsidRDefault="002868E5" w:rsidP="00476C35">
      <w:pPr>
        <w:spacing w:line="360" w:lineRule="auto"/>
        <w:jc w:val="center"/>
        <w:rPr>
          <w:rFonts w:ascii="Times New Roman" w:hAnsi="Times New Roman" w:cs="Times New Roman"/>
          <w:b/>
          <w:bCs/>
        </w:rPr>
      </w:pPr>
      <w:r>
        <w:rPr>
          <w:rFonts w:ascii="Times New Roman" w:hAnsi="Times New Roman" w:cs="Times New Roman"/>
          <w:b/>
          <w:bCs/>
        </w:rPr>
        <w:t xml:space="preserve">Samwel Okonda: </w:t>
      </w:r>
      <w:hyperlink r:id="rId8" w:history="1">
        <w:r w:rsidRPr="007A115F">
          <w:rPr>
            <w:rStyle w:val="Hyperlink"/>
            <w:rFonts w:ascii="Times New Roman" w:hAnsi="Times New Roman" w:cs="Times New Roman"/>
            <w:b/>
            <w:bCs/>
          </w:rPr>
          <w:t>isamwel.me.ke@gmail.com</w:t>
        </w:r>
      </w:hyperlink>
      <w:r>
        <w:rPr>
          <w:rFonts w:ascii="Times New Roman" w:hAnsi="Times New Roman" w:cs="Times New Roman"/>
          <w:b/>
          <w:bCs/>
        </w:rPr>
        <w:t xml:space="preserve"> </w:t>
      </w:r>
    </w:p>
    <w:p w14:paraId="286D9881" w14:textId="246EE288" w:rsidR="002868E5" w:rsidRDefault="002868E5" w:rsidP="00476C35">
      <w:pPr>
        <w:spacing w:line="360" w:lineRule="auto"/>
        <w:jc w:val="center"/>
        <w:rPr>
          <w:rFonts w:ascii="Times New Roman" w:hAnsi="Times New Roman" w:cs="Times New Roman"/>
          <w:b/>
          <w:bCs/>
        </w:rPr>
      </w:pPr>
      <w:r>
        <w:rPr>
          <w:rFonts w:ascii="Times New Roman" w:hAnsi="Times New Roman" w:cs="Times New Roman"/>
          <w:b/>
          <w:bCs/>
        </w:rPr>
        <w:t xml:space="preserve">Stephen Owako: </w:t>
      </w:r>
      <w:hyperlink r:id="rId9" w:history="1">
        <w:r w:rsidRPr="007A115F">
          <w:rPr>
            <w:rStyle w:val="Hyperlink"/>
            <w:rFonts w:ascii="Times New Roman" w:hAnsi="Times New Roman" w:cs="Times New Roman"/>
            <w:b/>
            <w:bCs/>
          </w:rPr>
          <w:t>sotieno443@gmail.com</w:t>
        </w:r>
      </w:hyperlink>
      <w:r>
        <w:rPr>
          <w:rFonts w:ascii="Times New Roman" w:hAnsi="Times New Roman" w:cs="Times New Roman"/>
          <w:b/>
          <w:bCs/>
        </w:rPr>
        <w:t xml:space="preserve"> </w:t>
      </w:r>
    </w:p>
    <w:p w14:paraId="2055F48C" w14:textId="77777777" w:rsidR="002868E5" w:rsidRDefault="002868E5">
      <w:pPr>
        <w:rPr>
          <w:rFonts w:ascii="Times New Roman" w:hAnsi="Times New Roman" w:cs="Times New Roman"/>
          <w:b/>
          <w:bCs/>
        </w:rPr>
      </w:pPr>
      <w:r>
        <w:rPr>
          <w:rFonts w:ascii="Times New Roman" w:hAnsi="Times New Roman" w:cs="Times New Roman"/>
          <w:b/>
          <w:bCs/>
        </w:rPr>
        <w:br w:type="page"/>
      </w:r>
    </w:p>
    <w:p w14:paraId="2A87131C" w14:textId="2E7D84A2" w:rsidR="00EA24D6" w:rsidRPr="00EA24D6" w:rsidRDefault="00EA24D6" w:rsidP="00476C35">
      <w:pPr>
        <w:spacing w:line="360" w:lineRule="auto"/>
        <w:jc w:val="center"/>
        <w:rPr>
          <w:rFonts w:ascii="Times New Roman" w:hAnsi="Times New Roman" w:cs="Times New Roman"/>
          <w:b/>
          <w:bCs/>
        </w:rPr>
      </w:pPr>
      <w:r w:rsidRPr="00EA24D6">
        <w:rPr>
          <w:rFonts w:ascii="Times New Roman" w:hAnsi="Times New Roman" w:cs="Times New Roman"/>
          <w:b/>
          <w:bCs/>
        </w:rPr>
        <w:lastRenderedPageBreak/>
        <w:t>Food Security and Nutritional Vulnerability in Ghana: Analytical Report</w:t>
      </w:r>
    </w:p>
    <w:p w14:paraId="1AF4E839" w14:textId="77777777" w:rsidR="00EA24D6" w:rsidRPr="00EA24D6" w:rsidRDefault="00EA24D6" w:rsidP="00476C35">
      <w:pPr>
        <w:spacing w:line="360" w:lineRule="auto"/>
        <w:jc w:val="center"/>
        <w:rPr>
          <w:rFonts w:ascii="Times New Roman" w:hAnsi="Times New Roman" w:cs="Times New Roman"/>
          <w:b/>
          <w:bCs/>
        </w:rPr>
      </w:pPr>
      <w:r w:rsidRPr="00EA24D6">
        <w:rPr>
          <w:rFonts w:ascii="Times New Roman" w:hAnsi="Times New Roman" w:cs="Times New Roman"/>
          <w:b/>
          <w:bCs/>
        </w:rPr>
        <w:t>Executive Summary</w:t>
      </w:r>
    </w:p>
    <w:p w14:paraId="57C55197" w14:textId="77777777" w:rsidR="00E240BA" w:rsidRDefault="00E240BA" w:rsidP="00C56ADA">
      <w:pPr>
        <w:spacing w:line="360" w:lineRule="auto"/>
        <w:ind w:firstLine="720"/>
        <w:jc w:val="both"/>
        <w:rPr>
          <w:rFonts w:ascii="Times New Roman" w:hAnsi="Times New Roman" w:cs="Times New Roman"/>
        </w:rPr>
      </w:pPr>
      <w:r w:rsidRPr="00E240BA">
        <w:rPr>
          <w:rFonts w:ascii="Times New Roman" w:hAnsi="Times New Roman" w:cs="Times New Roman"/>
        </w:rPr>
        <w:t xml:space="preserve">This analysis evaluates food security and nutritional vulnerability across Ghana, focusing on household diet composition, nutrient availability, and resilience to climate-induced shocks. Using composite vulnerability indices, nutrient–vulnerability correlations, and scenario simulations, the study provides an evidence base for policy and program interventions. In addition, an interactive </w:t>
      </w:r>
      <w:proofErr w:type="spellStart"/>
      <w:r w:rsidRPr="00E240BA">
        <w:rPr>
          <w:rFonts w:ascii="Times New Roman" w:hAnsi="Times New Roman" w:cs="Times New Roman"/>
        </w:rPr>
        <w:t>Streamlit</w:t>
      </w:r>
      <w:proofErr w:type="spellEnd"/>
      <w:r w:rsidRPr="00E240BA">
        <w:rPr>
          <w:rFonts w:ascii="Times New Roman" w:hAnsi="Times New Roman" w:cs="Times New Roman"/>
        </w:rPr>
        <w:t xml:space="preserve"> dashboard was developed to complement the analysis, allowing policymakers and practitioners to explore regional data in real time, visualize nutrient gaps, assess vulnerabilities, and generate tailored policy briefs. Together, the report and dashboard provide both rigorous evidence and a practical decision-support tool for strengthening food and nutrition security strategies in Ghana.</w:t>
      </w:r>
    </w:p>
    <w:p w14:paraId="4F5C3576" w14:textId="66E0C3D3" w:rsidR="00EA24D6" w:rsidRPr="00EA24D6" w:rsidRDefault="00EA24D6" w:rsidP="00476C35">
      <w:pPr>
        <w:spacing w:line="360" w:lineRule="auto"/>
        <w:jc w:val="center"/>
        <w:rPr>
          <w:rFonts w:ascii="Times New Roman" w:hAnsi="Times New Roman" w:cs="Times New Roman"/>
          <w:b/>
          <w:bCs/>
        </w:rPr>
      </w:pPr>
      <w:r w:rsidRPr="00EA24D6">
        <w:rPr>
          <w:rFonts w:ascii="Times New Roman" w:hAnsi="Times New Roman" w:cs="Times New Roman"/>
          <w:b/>
          <w:bCs/>
        </w:rPr>
        <w:t>1. Introduction</w:t>
      </w:r>
    </w:p>
    <w:p w14:paraId="312F3E2C" w14:textId="569709D6" w:rsidR="00EA24D6" w:rsidRPr="00EA24D6" w:rsidRDefault="006B2480" w:rsidP="00476C35">
      <w:pPr>
        <w:spacing w:line="360" w:lineRule="auto"/>
        <w:ind w:firstLine="720"/>
        <w:jc w:val="both"/>
        <w:rPr>
          <w:rFonts w:ascii="Times New Roman" w:hAnsi="Times New Roman" w:cs="Times New Roman"/>
        </w:rPr>
      </w:pPr>
      <w:r w:rsidRPr="00476C35">
        <w:rPr>
          <w:rFonts w:ascii="Times New Roman" w:hAnsi="Times New Roman" w:cs="Times New Roman"/>
        </w:rPr>
        <w:t>Food security in Ghana is influenced by production, markets, nutrition, and vulnerability. Despite progress, regional disparities persist, especially in the north. This study assesses food security with composite indicators, explores nutrient–vulnerability links, visualizes disparities, and simulates shocks, offering insights to guide evidence-based policy and development interventions</w:t>
      </w:r>
      <w:r w:rsidR="00EA24D6" w:rsidRPr="00EA24D6">
        <w:rPr>
          <w:rFonts w:ascii="Times New Roman" w:hAnsi="Times New Roman" w:cs="Times New Roman"/>
        </w:rPr>
        <w:t>.</w:t>
      </w:r>
    </w:p>
    <w:p w14:paraId="7C70FE7D" w14:textId="77777777" w:rsidR="00EA24D6" w:rsidRPr="00EA24D6" w:rsidRDefault="00EA24D6" w:rsidP="00476C35">
      <w:pPr>
        <w:spacing w:line="360" w:lineRule="auto"/>
        <w:jc w:val="center"/>
        <w:rPr>
          <w:rFonts w:ascii="Times New Roman" w:hAnsi="Times New Roman" w:cs="Times New Roman"/>
          <w:b/>
          <w:bCs/>
        </w:rPr>
      </w:pPr>
      <w:r w:rsidRPr="00EA24D6">
        <w:rPr>
          <w:rFonts w:ascii="Times New Roman" w:hAnsi="Times New Roman" w:cs="Times New Roman"/>
          <w:b/>
          <w:bCs/>
        </w:rPr>
        <w:t>2. Methodology</w:t>
      </w:r>
    </w:p>
    <w:p w14:paraId="15DFFFD1" w14:textId="77777777" w:rsidR="00EA24D6" w:rsidRPr="00EA24D6" w:rsidRDefault="00EA24D6" w:rsidP="00476C35">
      <w:pPr>
        <w:spacing w:line="360" w:lineRule="auto"/>
        <w:jc w:val="both"/>
        <w:rPr>
          <w:rFonts w:ascii="Times New Roman" w:hAnsi="Times New Roman" w:cs="Times New Roman"/>
        </w:rPr>
      </w:pPr>
      <w:r w:rsidRPr="00EA24D6">
        <w:rPr>
          <w:rFonts w:ascii="Times New Roman" w:hAnsi="Times New Roman" w:cs="Times New Roman"/>
        </w:rPr>
        <w:t>The analysis was conducted in four stages:</w:t>
      </w:r>
    </w:p>
    <w:p w14:paraId="4D65B8E3" w14:textId="77777777" w:rsidR="00EA24D6" w:rsidRPr="00EA24D6" w:rsidRDefault="00EA24D6" w:rsidP="00476C35">
      <w:pPr>
        <w:numPr>
          <w:ilvl w:val="0"/>
          <w:numId w:val="2"/>
        </w:numPr>
        <w:spacing w:line="360" w:lineRule="auto"/>
        <w:jc w:val="both"/>
        <w:rPr>
          <w:rFonts w:ascii="Times New Roman" w:hAnsi="Times New Roman" w:cs="Times New Roman"/>
        </w:rPr>
      </w:pPr>
      <w:r w:rsidRPr="00EA24D6">
        <w:rPr>
          <w:rFonts w:ascii="Times New Roman" w:hAnsi="Times New Roman" w:cs="Times New Roman"/>
          <w:b/>
          <w:bCs/>
        </w:rPr>
        <w:t>Data Preparation</w:t>
      </w:r>
      <w:r w:rsidRPr="00EA24D6">
        <w:rPr>
          <w:rFonts w:ascii="Times New Roman" w:hAnsi="Times New Roman" w:cs="Times New Roman"/>
        </w:rPr>
        <w:t>: Regional food availability, nutrient composition, and vulnerability scores were harmonized from secondary datasets. A composite index of food security was constructed using normalization and weighted aggregation.</w:t>
      </w:r>
    </w:p>
    <w:p w14:paraId="5272ACA3" w14:textId="77777777" w:rsidR="00EA24D6" w:rsidRPr="00EA24D6" w:rsidRDefault="00EA24D6" w:rsidP="00476C35">
      <w:pPr>
        <w:numPr>
          <w:ilvl w:val="0"/>
          <w:numId w:val="2"/>
        </w:numPr>
        <w:spacing w:line="360" w:lineRule="auto"/>
        <w:jc w:val="both"/>
        <w:rPr>
          <w:rFonts w:ascii="Times New Roman" w:hAnsi="Times New Roman" w:cs="Times New Roman"/>
        </w:rPr>
      </w:pPr>
      <w:r w:rsidRPr="00EA24D6">
        <w:rPr>
          <w:rFonts w:ascii="Times New Roman" w:hAnsi="Times New Roman" w:cs="Times New Roman"/>
          <w:b/>
          <w:bCs/>
        </w:rPr>
        <w:t>Ranking and Comparison</w:t>
      </w:r>
      <w:r w:rsidRPr="00EA24D6">
        <w:rPr>
          <w:rFonts w:ascii="Times New Roman" w:hAnsi="Times New Roman" w:cs="Times New Roman"/>
        </w:rPr>
        <w:t>: Regions were ranked based on composite vulnerability scores, highlighting disparities.</w:t>
      </w:r>
    </w:p>
    <w:p w14:paraId="1455D0B2" w14:textId="77777777" w:rsidR="00EA24D6" w:rsidRPr="00EA24D6" w:rsidRDefault="00EA24D6" w:rsidP="00476C35">
      <w:pPr>
        <w:numPr>
          <w:ilvl w:val="0"/>
          <w:numId w:val="2"/>
        </w:numPr>
        <w:spacing w:line="360" w:lineRule="auto"/>
        <w:jc w:val="both"/>
        <w:rPr>
          <w:rFonts w:ascii="Times New Roman" w:hAnsi="Times New Roman" w:cs="Times New Roman"/>
        </w:rPr>
      </w:pPr>
      <w:r w:rsidRPr="00EA24D6">
        <w:rPr>
          <w:rFonts w:ascii="Times New Roman" w:hAnsi="Times New Roman" w:cs="Times New Roman"/>
          <w:b/>
          <w:bCs/>
        </w:rPr>
        <w:t>Visualization and Mapping</w:t>
      </w:r>
      <w:r w:rsidRPr="00EA24D6">
        <w:rPr>
          <w:rFonts w:ascii="Times New Roman" w:hAnsi="Times New Roman" w:cs="Times New Roman"/>
        </w:rPr>
        <w:t>: Dashboards, scatter plots, and choropleth maps were used to reveal relationships and geographic patterns.</w:t>
      </w:r>
    </w:p>
    <w:p w14:paraId="0107FFC8" w14:textId="48F15174" w:rsidR="00EA24D6" w:rsidRPr="00EA24D6" w:rsidRDefault="00EA24D6" w:rsidP="00476C35">
      <w:pPr>
        <w:numPr>
          <w:ilvl w:val="0"/>
          <w:numId w:val="2"/>
        </w:numPr>
        <w:spacing w:line="360" w:lineRule="auto"/>
        <w:jc w:val="both"/>
        <w:rPr>
          <w:rFonts w:ascii="Times New Roman" w:hAnsi="Times New Roman" w:cs="Times New Roman"/>
        </w:rPr>
      </w:pPr>
      <w:r w:rsidRPr="00EA24D6">
        <w:rPr>
          <w:rFonts w:ascii="Times New Roman" w:hAnsi="Times New Roman" w:cs="Times New Roman"/>
          <w:b/>
          <w:bCs/>
        </w:rPr>
        <w:t>Scenario Simulation</w:t>
      </w:r>
      <w:r w:rsidRPr="00EA24D6">
        <w:rPr>
          <w:rFonts w:ascii="Times New Roman" w:hAnsi="Times New Roman" w:cs="Times New Roman"/>
        </w:rPr>
        <w:t>: Shocks such as a +10% drought effect (reducing yields) and a −5% protein availability reduction were modeled to assess system resilience.</w:t>
      </w:r>
    </w:p>
    <w:p w14:paraId="2AEC4C49" w14:textId="77777777" w:rsidR="00EA24D6" w:rsidRPr="00EA24D6" w:rsidRDefault="00EA24D6" w:rsidP="00476C35">
      <w:pPr>
        <w:spacing w:line="360" w:lineRule="auto"/>
        <w:jc w:val="center"/>
        <w:rPr>
          <w:rFonts w:ascii="Times New Roman" w:hAnsi="Times New Roman" w:cs="Times New Roman"/>
          <w:b/>
          <w:bCs/>
        </w:rPr>
      </w:pPr>
      <w:r w:rsidRPr="00EA24D6">
        <w:rPr>
          <w:rFonts w:ascii="Times New Roman" w:hAnsi="Times New Roman" w:cs="Times New Roman"/>
          <w:b/>
          <w:bCs/>
        </w:rPr>
        <w:lastRenderedPageBreak/>
        <w:t>3. Results</w:t>
      </w:r>
    </w:p>
    <w:p w14:paraId="463761F0" w14:textId="77777777" w:rsidR="00EA24D6" w:rsidRPr="00EA24D6" w:rsidRDefault="00EA24D6" w:rsidP="00476C35">
      <w:pPr>
        <w:spacing w:line="360" w:lineRule="auto"/>
        <w:jc w:val="both"/>
        <w:rPr>
          <w:rFonts w:ascii="Times New Roman" w:hAnsi="Times New Roman" w:cs="Times New Roman"/>
          <w:b/>
          <w:bCs/>
        </w:rPr>
      </w:pPr>
      <w:r w:rsidRPr="00EA24D6">
        <w:rPr>
          <w:rFonts w:ascii="Times New Roman" w:hAnsi="Times New Roman" w:cs="Times New Roman"/>
          <w:b/>
          <w:bCs/>
        </w:rPr>
        <w:t>3.1 Composite Vulnerability Scores and Ranking</w:t>
      </w:r>
    </w:p>
    <w:p w14:paraId="55B51C39" w14:textId="77777777" w:rsidR="00EA24D6" w:rsidRPr="00EA24D6" w:rsidRDefault="00EA24D6" w:rsidP="00476C35">
      <w:pPr>
        <w:spacing w:line="360" w:lineRule="auto"/>
        <w:ind w:firstLine="720"/>
        <w:jc w:val="both"/>
        <w:rPr>
          <w:rFonts w:ascii="Times New Roman" w:hAnsi="Times New Roman" w:cs="Times New Roman"/>
        </w:rPr>
      </w:pPr>
      <w:r w:rsidRPr="00EA24D6">
        <w:rPr>
          <w:rFonts w:ascii="Times New Roman" w:hAnsi="Times New Roman" w:cs="Times New Roman"/>
        </w:rPr>
        <w:t xml:space="preserve">Analysis shows that vulnerability is unevenly distributed across Ghana. Regions in the north (Northern, Upper East, Upper West) exhibit the </w:t>
      </w:r>
      <w:r w:rsidRPr="00EA24D6">
        <w:rPr>
          <w:rFonts w:ascii="Times New Roman" w:hAnsi="Times New Roman" w:cs="Times New Roman"/>
          <w:b/>
          <w:bCs/>
        </w:rPr>
        <w:t>highest vulnerability scores</w:t>
      </w:r>
      <w:r w:rsidRPr="00EA24D6">
        <w:rPr>
          <w:rFonts w:ascii="Times New Roman" w:hAnsi="Times New Roman" w:cs="Times New Roman"/>
        </w:rPr>
        <w:t>, driven by limited dietary diversity, climate exposure, and higher poverty levels. In contrast, southern and urbanized regions (Greater Accra, Ashanti, Western) show lower vulnerability due to diversified livelihoods and stronger market integration.</w:t>
      </w:r>
    </w:p>
    <w:p w14:paraId="5E900F0F" w14:textId="1C924F4B" w:rsidR="00CD42E7" w:rsidRDefault="00CD42E7" w:rsidP="00CD42E7">
      <w:pPr>
        <w:pStyle w:val="Caption"/>
        <w:keepNext/>
        <w:jc w:val="both"/>
      </w:pPr>
      <w:r>
        <w:t xml:space="preserve">Figure </w:t>
      </w:r>
      <w:r w:rsidR="0069249C">
        <w:fldChar w:fldCharType="begin"/>
      </w:r>
      <w:r w:rsidR="0069249C">
        <w:instrText xml:space="preserve"> SEQ Figure \* ARABIC </w:instrText>
      </w:r>
      <w:r w:rsidR="0069249C">
        <w:fldChar w:fldCharType="separate"/>
      </w:r>
      <w:r w:rsidR="00546B39">
        <w:rPr>
          <w:noProof/>
        </w:rPr>
        <w:t>1</w:t>
      </w:r>
      <w:r w:rsidR="0069249C">
        <w:rPr>
          <w:noProof/>
        </w:rPr>
        <w:fldChar w:fldCharType="end"/>
      </w:r>
      <w:r>
        <w:t xml:space="preserve">: </w:t>
      </w:r>
      <w:r w:rsidRPr="0006199F">
        <w:t>Regional composite vulnerability scores and ranking.</w:t>
      </w:r>
    </w:p>
    <w:p w14:paraId="34E91520" w14:textId="5170DF7E" w:rsidR="00EA24D6" w:rsidRPr="00EA24D6" w:rsidRDefault="00EA24D6" w:rsidP="00476C35">
      <w:pPr>
        <w:spacing w:line="360" w:lineRule="auto"/>
        <w:jc w:val="both"/>
        <w:rPr>
          <w:rFonts w:ascii="Times New Roman" w:hAnsi="Times New Roman" w:cs="Times New Roman"/>
        </w:rPr>
      </w:pPr>
      <w:r w:rsidRPr="00476C35">
        <w:rPr>
          <w:rFonts w:ascii="Times New Roman" w:hAnsi="Times New Roman" w:cs="Times New Roman"/>
          <w:noProof/>
        </w:rPr>
        <w:drawing>
          <wp:inline distT="0" distB="0" distL="0" distR="0" wp14:anchorId="0DC8D43E" wp14:editId="68CE8EBC">
            <wp:extent cx="4159250" cy="2407630"/>
            <wp:effectExtent l="0" t="0" r="0" b="0"/>
            <wp:docPr id="77029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91649" name=""/>
                    <pic:cNvPicPr/>
                  </pic:nvPicPr>
                  <pic:blipFill>
                    <a:blip r:embed="rId10"/>
                    <a:stretch>
                      <a:fillRect/>
                    </a:stretch>
                  </pic:blipFill>
                  <pic:spPr>
                    <a:xfrm>
                      <a:off x="0" y="0"/>
                      <a:ext cx="4162555" cy="2409543"/>
                    </a:xfrm>
                    <a:prstGeom prst="rect">
                      <a:avLst/>
                    </a:prstGeom>
                  </pic:spPr>
                </pic:pic>
              </a:graphicData>
            </a:graphic>
          </wp:inline>
        </w:drawing>
      </w:r>
    </w:p>
    <w:p w14:paraId="41918D1B" w14:textId="5175CCE3" w:rsidR="00EA24D6" w:rsidRPr="00EA24D6" w:rsidRDefault="00EA24D6" w:rsidP="00476C35">
      <w:pPr>
        <w:spacing w:line="360" w:lineRule="auto"/>
        <w:jc w:val="both"/>
        <w:rPr>
          <w:rFonts w:ascii="Times New Roman" w:hAnsi="Times New Roman" w:cs="Times New Roman"/>
        </w:rPr>
      </w:pPr>
      <w:r w:rsidRPr="00EA24D6">
        <w:rPr>
          <w:rFonts w:ascii="Times New Roman" w:hAnsi="Times New Roman" w:cs="Times New Roman"/>
        </w:rPr>
        <w:t>This ranking underscores the need for spatially differentiated policy strategies.</w:t>
      </w:r>
    </w:p>
    <w:p w14:paraId="07DF27F1" w14:textId="77777777" w:rsidR="00EA24D6" w:rsidRPr="00EA24D6" w:rsidRDefault="00EA24D6" w:rsidP="00476C35">
      <w:pPr>
        <w:spacing w:line="360" w:lineRule="auto"/>
        <w:jc w:val="both"/>
        <w:rPr>
          <w:rFonts w:ascii="Times New Roman" w:hAnsi="Times New Roman" w:cs="Times New Roman"/>
          <w:b/>
          <w:bCs/>
        </w:rPr>
      </w:pPr>
      <w:r w:rsidRPr="00EA24D6">
        <w:rPr>
          <w:rFonts w:ascii="Times New Roman" w:hAnsi="Times New Roman" w:cs="Times New Roman"/>
          <w:b/>
          <w:bCs/>
        </w:rPr>
        <w:t>3.2 Correlation Between Nutrients and Vulnerability</w:t>
      </w:r>
    </w:p>
    <w:p w14:paraId="170C07F1" w14:textId="77777777" w:rsidR="00EA24D6" w:rsidRDefault="00EA24D6" w:rsidP="00476C35">
      <w:pPr>
        <w:spacing w:line="360" w:lineRule="auto"/>
        <w:ind w:firstLine="720"/>
        <w:jc w:val="both"/>
        <w:rPr>
          <w:rFonts w:ascii="Times New Roman" w:hAnsi="Times New Roman" w:cs="Times New Roman"/>
        </w:rPr>
      </w:pPr>
      <w:r w:rsidRPr="00EA24D6">
        <w:rPr>
          <w:rFonts w:ascii="Times New Roman" w:hAnsi="Times New Roman" w:cs="Times New Roman"/>
        </w:rPr>
        <w:t>Scatter plots with fitted trend lines indicate significant associations between nutrient availability and vulnerability. For example, protein availability demonstrates a strong negative correlation with vulnerability, suggesting that regions with higher protein access are less nutritionally insecure. Micronutrients such as iron and vitamin A also show meaningful relationships, reflecting their role in overall health resilience.</w:t>
      </w:r>
    </w:p>
    <w:p w14:paraId="05803ED4" w14:textId="228D0D02" w:rsidR="00CD42E7" w:rsidRDefault="00CD42E7" w:rsidP="00CD42E7">
      <w:pPr>
        <w:pStyle w:val="Caption"/>
        <w:keepNext/>
        <w:jc w:val="both"/>
      </w:pPr>
      <w:r>
        <w:lastRenderedPageBreak/>
        <w:t xml:space="preserve">Figure </w:t>
      </w:r>
      <w:r w:rsidR="0069249C">
        <w:fldChar w:fldCharType="begin"/>
      </w:r>
      <w:r w:rsidR="0069249C">
        <w:instrText xml:space="preserve"> SEQ Figure \* ARABIC </w:instrText>
      </w:r>
      <w:r w:rsidR="0069249C">
        <w:fldChar w:fldCharType="separate"/>
      </w:r>
      <w:r w:rsidR="00546B39">
        <w:rPr>
          <w:noProof/>
        </w:rPr>
        <w:t>2</w:t>
      </w:r>
      <w:r w:rsidR="0069249C">
        <w:rPr>
          <w:noProof/>
        </w:rPr>
        <w:fldChar w:fldCharType="end"/>
      </w:r>
      <w:r>
        <w:t>: Scatter Plot of Hotspot Thresholds at 0.5</w:t>
      </w:r>
    </w:p>
    <w:p w14:paraId="536D162C" w14:textId="1AF86BEE" w:rsidR="00476C35" w:rsidRPr="00EA24D6" w:rsidRDefault="00476C35" w:rsidP="00476C35">
      <w:pPr>
        <w:spacing w:line="360" w:lineRule="auto"/>
        <w:ind w:firstLine="720"/>
        <w:jc w:val="both"/>
        <w:rPr>
          <w:rFonts w:ascii="Times New Roman" w:hAnsi="Times New Roman" w:cs="Times New Roman"/>
        </w:rPr>
      </w:pPr>
      <w:r w:rsidRPr="00476C35">
        <w:rPr>
          <w:rFonts w:ascii="Times New Roman" w:hAnsi="Times New Roman" w:cs="Times New Roman"/>
          <w:noProof/>
        </w:rPr>
        <w:drawing>
          <wp:inline distT="0" distB="0" distL="0" distR="0" wp14:anchorId="47514A0D" wp14:editId="14929E3B">
            <wp:extent cx="2985060" cy="2743200"/>
            <wp:effectExtent l="0" t="0" r="6350" b="0"/>
            <wp:docPr id="103698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87591" name=""/>
                    <pic:cNvPicPr/>
                  </pic:nvPicPr>
                  <pic:blipFill>
                    <a:blip r:embed="rId11"/>
                    <a:stretch>
                      <a:fillRect/>
                    </a:stretch>
                  </pic:blipFill>
                  <pic:spPr>
                    <a:xfrm>
                      <a:off x="0" y="0"/>
                      <a:ext cx="2986810" cy="2744809"/>
                    </a:xfrm>
                    <a:prstGeom prst="rect">
                      <a:avLst/>
                    </a:prstGeom>
                  </pic:spPr>
                </pic:pic>
              </a:graphicData>
            </a:graphic>
          </wp:inline>
        </w:drawing>
      </w:r>
    </w:p>
    <w:p w14:paraId="3C691B4B" w14:textId="33A18BF0" w:rsidR="00CD42E7" w:rsidRDefault="00CD42E7" w:rsidP="00CD42E7">
      <w:pPr>
        <w:pStyle w:val="Caption"/>
        <w:keepNext/>
        <w:jc w:val="both"/>
      </w:pPr>
      <w:r>
        <w:t xml:space="preserve">Figure </w:t>
      </w:r>
      <w:r w:rsidR="0069249C">
        <w:fldChar w:fldCharType="begin"/>
      </w:r>
      <w:r w:rsidR="0069249C">
        <w:instrText xml:space="preserve"> SEQ Figure \* ARABIC </w:instrText>
      </w:r>
      <w:r w:rsidR="0069249C">
        <w:fldChar w:fldCharType="separate"/>
      </w:r>
      <w:r w:rsidR="00546B39">
        <w:rPr>
          <w:noProof/>
        </w:rPr>
        <w:t>3</w:t>
      </w:r>
      <w:r w:rsidR="0069249C">
        <w:rPr>
          <w:noProof/>
        </w:rPr>
        <w:fldChar w:fldCharType="end"/>
      </w:r>
      <w:r>
        <w:t xml:space="preserve">: </w:t>
      </w:r>
      <w:r w:rsidRPr="004C71C5">
        <w:t>Nutrient × Vulnerability (Protein, Iron, Vitamin A).</w:t>
      </w:r>
    </w:p>
    <w:p w14:paraId="064FB187" w14:textId="2B7AE8F5" w:rsidR="00EA24D6" w:rsidRPr="00EA24D6" w:rsidRDefault="00EA24D6" w:rsidP="00476C35">
      <w:pPr>
        <w:spacing w:line="360" w:lineRule="auto"/>
        <w:jc w:val="both"/>
        <w:rPr>
          <w:rFonts w:ascii="Times New Roman" w:hAnsi="Times New Roman" w:cs="Times New Roman"/>
        </w:rPr>
      </w:pPr>
      <w:r w:rsidRPr="00476C35">
        <w:rPr>
          <w:rFonts w:ascii="Times New Roman" w:hAnsi="Times New Roman" w:cs="Times New Roman"/>
          <w:noProof/>
        </w:rPr>
        <w:drawing>
          <wp:inline distT="0" distB="0" distL="0" distR="0" wp14:anchorId="2547D39A" wp14:editId="761E682E">
            <wp:extent cx="5048250" cy="2136337"/>
            <wp:effectExtent l="0" t="0" r="0" b="0"/>
            <wp:docPr id="79611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13479" name=""/>
                    <pic:cNvPicPr/>
                  </pic:nvPicPr>
                  <pic:blipFill>
                    <a:blip r:embed="rId12"/>
                    <a:stretch>
                      <a:fillRect/>
                    </a:stretch>
                  </pic:blipFill>
                  <pic:spPr>
                    <a:xfrm>
                      <a:off x="0" y="0"/>
                      <a:ext cx="5067482" cy="2144476"/>
                    </a:xfrm>
                    <a:prstGeom prst="rect">
                      <a:avLst/>
                    </a:prstGeom>
                  </pic:spPr>
                </pic:pic>
              </a:graphicData>
            </a:graphic>
          </wp:inline>
        </w:drawing>
      </w:r>
    </w:p>
    <w:p w14:paraId="40796FFA" w14:textId="345416C2" w:rsidR="00EA24D6" w:rsidRPr="00476C35" w:rsidRDefault="00EA24D6" w:rsidP="00476C35">
      <w:pPr>
        <w:spacing w:line="360" w:lineRule="auto"/>
        <w:jc w:val="both"/>
        <w:rPr>
          <w:rFonts w:ascii="Times New Roman" w:hAnsi="Times New Roman" w:cs="Times New Roman"/>
        </w:rPr>
      </w:pPr>
      <w:r w:rsidRPr="00EA24D6">
        <w:rPr>
          <w:rFonts w:ascii="Times New Roman" w:hAnsi="Times New Roman" w:cs="Times New Roman"/>
        </w:rPr>
        <w:t>The analysis highlights that not only caloric sufficiency but also nutrient diversity is critical in reducing vulnerability.</w:t>
      </w:r>
    </w:p>
    <w:p w14:paraId="7D4A00A8" w14:textId="4E6DFCDD" w:rsidR="006B2480" w:rsidRPr="00476C35" w:rsidRDefault="00476C35" w:rsidP="00476C35">
      <w:pPr>
        <w:spacing w:line="360" w:lineRule="auto"/>
        <w:jc w:val="both"/>
        <w:rPr>
          <w:rFonts w:ascii="Times New Roman" w:hAnsi="Times New Roman" w:cs="Times New Roman"/>
          <w:b/>
          <w:bCs/>
        </w:rPr>
      </w:pPr>
      <w:r>
        <w:rPr>
          <w:rFonts w:ascii="Times New Roman" w:hAnsi="Times New Roman" w:cs="Times New Roman"/>
          <w:b/>
          <w:bCs/>
        </w:rPr>
        <w:t xml:space="preserve">3.3 </w:t>
      </w:r>
      <w:proofErr w:type="spellStart"/>
      <w:r w:rsidR="006B2480" w:rsidRPr="00476C35">
        <w:rPr>
          <w:rFonts w:ascii="Times New Roman" w:hAnsi="Times New Roman" w:cs="Times New Roman"/>
          <w:b/>
          <w:bCs/>
        </w:rPr>
        <w:t>VitaminC</w:t>
      </w:r>
      <w:proofErr w:type="spellEnd"/>
      <w:r w:rsidR="006B2480" w:rsidRPr="00476C35">
        <w:rPr>
          <w:rFonts w:ascii="Times New Roman" w:hAnsi="Times New Roman" w:cs="Times New Roman"/>
          <w:b/>
          <w:bCs/>
        </w:rPr>
        <w:t xml:space="preserve"> intake plotted against the Composite Vulnerability Index (CVI)</w:t>
      </w:r>
    </w:p>
    <w:p w14:paraId="66159DE2" w14:textId="028F0438" w:rsidR="00EA24D6" w:rsidRPr="00476C35" w:rsidRDefault="00EA24D6" w:rsidP="00476C35">
      <w:pPr>
        <w:spacing w:line="360" w:lineRule="auto"/>
        <w:ind w:firstLine="720"/>
        <w:jc w:val="both"/>
        <w:rPr>
          <w:rFonts w:ascii="Times New Roman" w:hAnsi="Times New Roman" w:cs="Times New Roman"/>
        </w:rPr>
      </w:pPr>
      <w:r w:rsidRPr="00476C35">
        <w:rPr>
          <w:rFonts w:ascii="Times New Roman" w:hAnsi="Times New Roman" w:cs="Times New Roman"/>
        </w:rPr>
        <w:t xml:space="preserve">The analysis shows a clear </w:t>
      </w:r>
      <w:r w:rsidRPr="00476C35">
        <w:rPr>
          <w:rFonts w:ascii="Times New Roman" w:hAnsi="Times New Roman" w:cs="Times New Roman"/>
          <w:b/>
          <w:bCs/>
        </w:rPr>
        <w:t xml:space="preserve">inverse relationship between </w:t>
      </w:r>
      <w:proofErr w:type="spellStart"/>
      <w:r w:rsidRPr="00476C35">
        <w:rPr>
          <w:rFonts w:ascii="Times New Roman" w:hAnsi="Times New Roman" w:cs="Times New Roman"/>
          <w:b/>
          <w:bCs/>
        </w:rPr>
        <w:t>VitaminC</w:t>
      </w:r>
      <w:proofErr w:type="spellEnd"/>
      <w:r w:rsidRPr="00476C35">
        <w:rPr>
          <w:rFonts w:ascii="Times New Roman" w:hAnsi="Times New Roman" w:cs="Times New Roman"/>
          <w:b/>
          <w:bCs/>
        </w:rPr>
        <w:t xml:space="preserve"> intake and the Composite Vulnerability Index (CVI)</w:t>
      </w:r>
      <w:r w:rsidRPr="00476C35">
        <w:rPr>
          <w:rFonts w:ascii="Times New Roman" w:hAnsi="Times New Roman" w:cs="Times New Roman"/>
        </w:rPr>
        <w:t xml:space="preserve">. As </w:t>
      </w:r>
      <w:proofErr w:type="spellStart"/>
      <w:r w:rsidRPr="00476C35">
        <w:rPr>
          <w:rFonts w:ascii="Times New Roman" w:hAnsi="Times New Roman" w:cs="Times New Roman"/>
        </w:rPr>
        <w:t>VitaminC</w:t>
      </w:r>
      <w:proofErr w:type="spellEnd"/>
      <w:r w:rsidRPr="00476C35">
        <w:rPr>
          <w:rFonts w:ascii="Times New Roman" w:hAnsi="Times New Roman" w:cs="Times New Roman"/>
        </w:rPr>
        <w:t xml:space="preserve"> consumption increases, vulnerability consistently decreases, highlighting its protective role in strengthening immunity and resilience. The regression line confirms this negative trend, while the confidence band indicates stronger reliability at higher </w:t>
      </w:r>
      <w:proofErr w:type="spellStart"/>
      <w:r w:rsidRPr="00476C35">
        <w:rPr>
          <w:rFonts w:ascii="Times New Roman" w:hAnsi="Times New Roman" w:cs="Times New Roman"/>
        </w:rPr>
        <w:t>VitaminC</w:t>
      </w:r>
      <w:proofErr w:type="spellEnd"/>
      <w:r w:rsidRPr="00476C35">
        <w:rPr>
          <w:rFonts w:ascii="Times New Roman" w:hAnsi="Times New Roman" w:cs="Times New Roman"/>
        </w:rPr>
        <w:t xml:space="preserve"> levels. Some variation exists at lower intake levels, suggesting other </w:t>
      </w:r>
      <w:r w:rsidRPr="00476C35">
        <w:rPr>
          <w:rFonts w:ascii="Times New Roman" w:hAnsi="Times New Roman" w:cs="Times New Roman"/>
        </w:rPr>
        <w:lastRenderedPageBreak/>
        <w:t xml:space="preserve">factors also influence vulnerability. Nonetheless, the overall pattern emphasizes the importance of </w:t>
      </w:r>
      <w:proofErr w:type="spellStart"/>
      <w:r w:rsidRPr="00476C35">
        <w:rPr>
          <w:rFonts w:ascii="Times New Roman" w:hAnsi="Times New Roman" w:cs="Times New Roman"/>
        </w:rPr>
        <w:t>VitaminC</w:t>
      </w:r>
      <w:proofErr w:type="spellEnd"/>
      <w:r w:rsidRPr="00476C35">
        <w:rPr>
          <w:rFonts w:ascii="Times New Roman" w:hAnsi="Times New Roman" w:cs="Times New Roman"/>
        </w:rPr>
        <w:t xml:space="preserve"> in reducing susceptibility to external stresses. This finding supports prioritizing </w:t>
      </w:r>
      <w:proofErr w:type="spellStart"/>
      <w:r w:rsidRPr="00476C35">
        <w:rPr>
          <w:rFonts w:ascii="Times New Roman" w:hAnsi="Times New Roman" w:cs="Times New Roman"/>
        </w:rPr>
        <w:t>VitaminC</w:t>
      </w:r>
      <w:proofErr w:type="spellEnd"/>
      <w:r w:rsidRPr="00476C35">
        <w:rPr>
          <w:rFonts w:ascii="Times New Roman" w:hAnsi="Times New Roman" w:cs="Times New Roman"/>
        </w:rPr>
        <w:t xml:space="preserve"> availability in nutrition strategies to mitigate vulnerability risks across affected populations.</w:t>
      </w:r>
    </w:p>
    <w:p w14:paraId="03387C39" w14:textId="4EAB0B3E" w:rsidR="003B66AC" w:rsidRDefault="003B66AC" w:rsidP="003B66AC">
      <w:pPr>
        <w:pStyle w:val="Caption"/>
        <w:keepNext/>
        <w:jc w:val="both"/>
      </w:pPr>
      <w:r>
        <w:t xml:space="preserve">Figure </w:t>
      </w:r>
      <w:r w:rsidR="0069249C">
        <w:fldChar w:fldCharType="begin"/>
      </w:r>
      <w:r w:rsidR="0069249C">
        <w:instrText xml:space="preserve"> SEQ Figure \* ARABIC </w:instrText>
      </w:r>
      <w:r w:rsidR="0069249C">
        <w:fldChar w:fldCharType="separate"/>
      </w:r>
      <w:r w:rsidR="00546B39">
        <w:rPr>
          <w:noProof/>
        </w:rPr>
        <w:t>4</w:t>
      </w:r>
      <w:r w:rsidR="0069249C">
        <w:rPr>
          <w:noProof/>
        </w:rPr>
        <w:fldChar w:fldCharType="end"/>
      </w:r>
      <w:r>
        <w:t xml:space="preserve">: </w:t>
      </w:r>
      <w:proofErr w:type="spellStart"/>
      <w:r w:rsidRPr="006443DA">
        <w:t>VitaminC</w:t>
      </w:r>
      <w:proofErr w:type="spellEnd"/>
      <w:r>
        <w:t xml:space="preserve"> vs Composite Vulnerability index</w:t>
      </w:r>
    </w:p>
    <w:p w14:paraId="5C7A9A40" w14:textId="502BCCB4" w:rsidR="006B2480" w:rsidRPr="00EA24D6" w:rsidRDefault="006B2480" w:rsidP="00476C35">
      <w:pPr>
        <w:spacing w:line="360" w:lineRule="auto"/>
        <w:jc w:val="both"/>
        <w:rPr>
          <w:rFonts w:ascii="Times New Roman" w:hAnsi="Times New Roman" w:cs="Times New Roman"/>
        </w:rPr>
      </w:pPr>
      <w:r w:rsidRPr="00476C35">
        <w:rPr>
          <w:rFonts w:ascii="Times New Roman" w:hAnsi="Times New Roman" w:cs="Times New Roman"/>
          <w:noProof/>
        </w:rPr>
        <w:drawing>
          <wp:inline distT="0" distB="0" distL="0" distR="0" wp14:anchorId="3B58FA2B" wp14:editId="3A088BEC">
            <wp:extent cx="3340100" cy="2611351"/>
            <wp:effectExtent l="0" t="0" r="0" b="0"/>
            <wp:docPr id="201656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9243" name=""/>
                    <pic:cNvPicPr/>
                  </pic:nvPicPr>
                  <pic:blipFill>
                    <a:blip r:embed="rId13"/>
                    <a:stretch>
                      <a:fillRect/>
                    </a:stretch>
                  </pic:blipFill>
                  <pic:spPr>
                    <a:xfrm>
                      <a:off x="0" y="0"/>
                      <a:ext cx="3344246" cy="2614592"/>
                    </a:xfrm>
                    <a:prstGeom prst="rect">
                      <a:avLst/>
                    </a:prstGeom>
                  </pic:spPr>
                </pic:pic>
              </a:graphicData>
            </a:graphic>
          </wp:inline>
        </w:drawing>
      </w:r>
    </w:p>
    <w:p w14:paraId="0DC9A529" w14:textId="1826DADF" w:rsidR="00EA24D6" w:rsidRPr="00EA24D6" w:rsidRDefault="00EA24D6" w:rsidP="00476C35">
      <w:pPr>
        <w:spacing w:line="360" w:lineRule="auto"/>
        <w:jc w:val="both"/>
        <w:rPr>
          <w:rFonts w:ascii="Times New Roman" w:hAnsi="Times New Roman" w:cs="Times New Roman"/>
          <w:b/>
          <w:bCs/>
        </w:rPr>
      </w:pPr>
      <w:r w:rsidRPr="00EA24D6">
        <w:rPr>
          <w:rFonts w:ascii="Times New Roman" w:hAnsi="Times New Roman" w:cs="Times New Roman"/>
          <w:b/>
          <w:bCs/>
        </w:rPr>
        <w:t>3.</w:t>
      </w:r>
      <w:r w:rsidR="00476C35">
        <w:rPr>
          <w:rFonts w:ascii="Times New Roman" w:hAnsi="Times New Roman" w:cs="Times New Roman"/>
          <w:b/>
          <w:bCs/>
        </w:rPr>
        <w:t>4</w:t>
      </w:r>
      <w:r w:rsidRPr="00EA24D6">
        <w:rPr>
          <w:rFonts w:ascii="Times New Roman" w:hAnsi="Times New Roman" w:cs="Times New Roman"/>
          <w:b/>
          <w:bCs/>
        </w:rPr>
        <w:t xml:space="preserve"> Spatial Patterns: Choropleth Mapping</w:t>
      </w:r>
    </w:p>
    <w:p w14:paraId="0BD1D97C" w14:textId="77777777" w:rsidR="00EA24D6" w:rsidRPr="00EA24D6" w:rsidRDefault="00EA24D6" w:rsidP="00476C35">
      <w:pPr>
        <w:spacing w:line="360" w:lineRule="auto"/>
        <w:jc w:val="both"/>
        <w:rPr>
          <w:rFonts w:ascii="Times New Roman" w:hAnsi="Times New Roman" w:cs="Times New Roman"/>
        </w:rPr>
      </w:pPr>
      <w:r w:rsidRPr="00EA24D6">
        <w:rPr>
          <w:rFonts w:ascii="Times New Roman" w:hAnsi="Times New Roman" w:cs="Times New Roman"/>
        </w:rPr>
        <w:t xml:space="preserve">The choropleth map of Ghana’s regions reveals </w:t>
      </w:r>
      <w:r w:rsidRPr="00EA24D6">
        <w:rPr>
          <w:rFonts w:ascii="Times New Roman" w:hAnsi="Times New Roman" w:cs="Times New Roman"/>
          <w:b/>
          <w:bCs/>
        </w:rPr>
        <w:t>a north–south divide</w:t>
      </w:r>
      <w:r w:rsidRPr="00EA24D6">
        <w:rPr>
          <w:rFonts w:ascii="Times New Roman" w:hAnsi="Times New Roman" w:cs="Times New Roman"/>
        </w:rPr>
        <w:t xml:space="preserve"> in vulnerability. The Upper East, Upper West, and Northern regions appear as high-risk “hotspots,” while the coastal and southern regions display relatively lower risk.</w:t>
      </w:r>
    </w:p>
    <w:p w14:paraId="0BA6731B" w14:textId="12B87998" w:rsidR="003B66AC" w:rsidRDefault="003B66AC" w:rsidP="003B66AC">
      <w:pPr>
        <w:pStyle w:val="Caption"/>
        <w:keepNext/>
        <w:jc w:val="center"/>
      </w:pPr>
      <w:r>
        <w:lastRenderedPageBreak/>
        <w:t xml:space="preserve">Figure </w:t>
      </w:r>
      <w:r w:rsidR="0069249C">
        <w:fldChar w:fldCharType="begin"/>
      </w:r>
      <w:r w:rsidR="0069249C">
        <w:instrText xml:space="preserve"> SEQ Figure \* ARABIC </w:instrText>
      </w:r>
      <w:r w:rsidR="0069249C">
        <w:fldChar w:fldCharType="separate"/>
      </w:r>
      <w:r w:rsidR="00546B39">
        <w:rPr>
          <w:noProof/>
        </w:rPr>
        <w:t>5</w:t>
      </w:r>
      <w:r w:rsidR="0069249C">
        <w:rPr>
          <w:noProof/>
        </w:rPr>
        <w:fldChar w:fldCharType="end"/>
      </w:r>
      <w:r>
        <w:t xml:space="preserve">: </w:t>
      </w:r>
      <w:r w:rsidRPr="007F2F3E">
        <w:t>Ghana regions, colored by vulnerability score.</w:t>
      </w:r>
    </w:p>
    <w:p w14:paraId="4745C184" w14:textId="5150C6A3" w:rsidR="00EA24D6" w:rsidRDefault="00EA24D6" w:rsidP="00476C35">
      <w:pPr>
        <w:spacing w:line="360" w:lineRule="auto"/>
        <w:jc w:val="center"/>
        <w:rPr>
          <w:rFonts w:ascii="Times New Roman" w:hAnsi="Times New Roman" w:cs="Times New Roman"/>
        </w:rPr>
      </w:pPr>
      <w:r w:rsidRPr="00476C35">
        <w:rPr>
          <w:rFonts w:ascii="Times New Roman" w:hAnsi="Times New Roman" w:cs="Times New Roman"/>
          <w:noProof/>
        </w:rPr>
        <w:drawing>
          <wp:inline distT="0" distB="0" distL="0" distR="0" wp14:anchorId="22E13FD8" wp14:editId="5DEF5BB2">
            <wp:extent cx="2888647" cy="3238500"/>
            <wp:effectExtent l="0" t="0" r="6985" b="0"/>
            <wp:docPr id="15392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9621" name=""/>
                    <pic:cNvPicPr/>
                  </pic:nvPicPr>
                  <pic:blipFill>
                    <a:blip r:embed="rId14"/>
                    <a:stretch>
                      <a:fillRect/>
                    </a:stretch>
                  </pic:blipFill>
                  <pic:spPr>
                    <a:xfrm>
                      <a:off x="0" y="0"/>
                      <a:ext cx="2891353" cy="3241534"/>
                    </a:xfrm>
                    <a:prstGeom prst="rect">
                      <a:avLst/>
                    </a:prstGeom>
                  </pic:spPr>
                </pic:pic>
              </a:graphicData>
            </a:graphic>
          </wp:inline>
        </w:drawing>
      </w:r>
    </w:p>
    <w:p w14:paraId="61554064" w14:textId="2E078BC1" w:rsidR="00546B39" w:rsidRDefault="00546B39" w:rsidP="00546B39">
      <w:pPr>
        <w:pStyle w:val="Caption"/>
        <w:keepNext/>
        <w:jc w:val="center"/>
      </w:pPr>
      <w:r>
        <w:t xml:space="preserve">Figure </w:t>
      </w:r>
      <w:r w:rsidR="0069249C">
        <w:fldChar w:fldCharType="begin"/>
      </w:r>
      <w:r w:rsidR="0069249C">
        <w:instrText xml:space="preserve"> SEQ Figure \* ARABIC </w:instrText>
      </w:r>
      <w:r w:rsidR="0069249C">
        <w:fldChar w:fldCharType="separate"/>
      </w:r>
      <w:r>
        <w:rPr>
          <w:noProof/>
        </w:rPr>
        <w:t>6</w:t>
      </w:r>
      <w:r w:rsidR="0069249C">
        <w:rPr>
          <w:noProof/>
        </w:rPr>
        <w:fldChar w:fldCharType="end"/>
      </w:r>
      <w:r>
        <w:t xml:space="preserve">: Interactive </w:t>
      </w:r>
      <w:proofErr w:type="spellStart"/>
      <w:r>
        <w:t>Chloropeth</w:t>
      </w:r>
      <w:proofErr w:type="spellEnd"/>
      <w:r>
        <w:t xml:space="preserve"> map</w:t>
      </w:r>
    </w:p>
    <w:p w14:paraId="70D1BCE4" w14:textId="0954E08D" w:rsidR="00546B39" w:rsidRDefault="00546B39" w:rsidP="00476C35">
      <w:pPr>
        <w:spacing w:line="360" w:lineRule="auto"/>
        <w:jc w:val="center"/>
        <w:rPr>
          <w:rFonts w:ascii="Times New Roman" w:hAnsi="Times New Roman" w:cs="Times New Roman"/>
        </w:rPr>
      </w:pPr>
      <w:r w:rsidRPr="00546B39">
        <w:rPr>
          <w:rFonts w:ascii="Times New Roman" w:hAnsi="Times New Roman" w:cs="Times New Roman"/>
          <w:noProof/>
        </w:rPr>
        <w:drawing>
          <wp:inline distT="0" distB="0" distL="0" distR="0" wp14:anchorId="18373932" wp14:editId="0FCCE11C">
            <wp:extent cx="5943600" cy="2604770"/>
            <wp:effectExtent l="0" t="0" r="0" b="5080"/>
            <wp:docPr id="129491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0260" name=""/>
                    <pic:cNvPicPr/>
                  </pic:nvPicPr>
                  <pic:blipFill>
                    <a:blip r:embed="rId15"/>
                    <a:stretch>
                      <a:fillRect/>
                    </a:stretch>
                  </pic:blipFill>
                  <pic:spPr>
                    <a:xfrm>
                      <a:off x="0" y="0"/>
                      <a:ext cx="5943600" cy="2604770"/>
                    </a:xfrm>
                    <a:prstGeom prst="rect">
                      <a:avLst/>
                    </a:prstGeom>
                  </pic:spPr>
                </pic:pic>
              </a:graphicData>
            </a:graphic>
          </wp:inline>
        </w:drawing>
      </w:r>
    </w:p>
    <w:p w14:paraId="6478CA8E" w14:textId="21BFB2DA" w:rsidR="00546B39" w:rsidRPr="00EA24D6" w:rsidRDefault="00546B39" w:rsidP="00546B39">
      <w:pPr>
        <w:spacing w:line="360" w:lineRule="auto"/>
        <w:rPr>
          <w:rFonts w:ascii="Times New Roman" w:hAnsi="Times New Roman" w:cs="Times New Roman"/>
        </w:rPr>
      </w:pPr>
      <w:r>
        <w:rPr>
          <w:rFonts w:ascii="Times New Roman" w:hAnsi="Times New Roman" w:cs="Times New Roman"/>
        </w:rPr>
        <w:t>(See Appendix C)</w:t>
      </w:r>
    </w:p>
    <w:p w14:paraId="28FCBE0D" w14:textId="5D37F747" w:rsidR="00EA24D6" w:rsidRPr="00EA24D6" w:rsidRDefault="00EA24D6" w:rsidP="00476C35">
      <w:pPr>
        <w:spacing w:line="360" w:lineRule="auto"/>
        <w:jc w:val="both"/>
        <w:rPr>
          <w:rFonts w:ascii="Times New Roman" w:hAnsi="Times New Roman" w:cs="Times New Roman"/>
        </w:rPr>
      </w:pPr>
      <w:r w:rsidRPr="00EA24D6">
        <w:rPr>
          <w:rFonts w:ascii="Times New Roman" w:hAnsi="Times New Roman" w:cs="Times New Roman"/>
        </w:rPr>
        <w:t>These spatial disparities align with national survey findings that consistently show higher food insecurity in the north due to rainfall variability, infrastructural deficits, and lower agricultural productivity.</w:t>
      </w:r>
    </w:p>
    <w:p w14:paraId="0313CE98" w14:textId="1E6BA139" w:rsidR="00EA24D6" w:rsidRPr="00EA24D6" w:rsidRDefault="00EA24D6" w:rsidP="00476C35">
      <w:pPr>
        <w:spacing w:line="360" w:lineRule="auto"/>
        <w:rPr>
          <w:rFonts w:ascii="Times New Roman" w:hAnsi="Times New Roman" w:cs="Times New Roman"/>
          <w:b/>
          <w:bCs/>
        </w:rPr>
      </w:pPr>
      <w:r w:rsidRPr="00EA24D6">
        <w:rPr>
          <w:rFonts w:ascii="Times New Roman" w:hAnsi="Times New Roman" w:cs="Times New Roman"/>
          <w:b/>
          <w:bCs/>
        </w:rPr>
        <w:t>3.</w:t>
      </w:r>
      <w:r w:rsidR="00476C35">
        <w:rPr>
          <w:rFonts w:ascii="Times New Roman" w:hAnsi="Times New Roman" w:cs="Times New Roman"/>
          <w:b/>
          <w:bCs/>
        </w:rPr>
        <w:t>5</w:t>
      </w:r>
      <w:r w:rsidRPr="00EA24D6">
        <w:rPr>
          <w:rFonts w:ascii="Times New Roman" w:hAnsi="Times New Roman" w:cs="Times New Roman"/>
          <w:b/>
          <w:bCs/>
        </w:rPr>
        <w:t xml:space="preserve"> Scenario Simulations</w:t>
      </w:r>
    </w:p>
    <w:p w14:paraId="29E956D7" w14:textId="77777777" w:rsidR="00EA24D6" w:rsidRPr="00EA24D6" w:rsidRDefault="00EA24D6" w:rsidP="00476C35">
      <w:pPr>
        <w:spacing w:line="360" w:lineRule="auto"/>
        <w:jc w:val="both"/>
        <w:rPr>
          <w:rFonts w:ascii="Times New Roman" w:hAnsi="Times New Roman" w:cs="Times New Roman"/>
        </w:rPr>
      </w:pPr>
      <w:r w:rsidRPr="00EA24D6">
        <w:rPr>
          <w:rFonts w:ascii="Times New Roman" w:hAnsi="Times New Roman" w:cs="Times New Roman"/>
        </w:rPr>
        <w:lastRenderedPageBreak/>
        <w:t>Two scenarios were tested to explore system resilience:</w:t>
      </w:r>
    </w:p>
    <w:p w14:paraId="77B543BB" w14:textId="77777777" w:rsidR="00EA24D6" w:rsidRPr="00EA24D6" w:rsidRDefault="00EA24D6" w:rsidP="00476C35">
      <w:pPr>
        <w:numPr>
          <w:ilvl w:val="0"/>
          <w:numId w:val="3"/>
        </w:numPr>
        <w:spacing w:line="360" w:lineRule="auto"/>
        <w:jc w:val="both"/>
        <w:rPr>
          <w:rFonts w:ascii="Times New Roman" w:hAnsi="Times New Roman" w:cs="Times New Roman"/>
        </w:rPr>
      </w:pPr>
      <w:r w:rsidRPr="00EA24D6">
        <w:rPr>
          <w:rFonts w:ascii="Times New Roman" w:hAnsi="Times New Roman" w:cs="Times New Roman"/>
          <w:b/>
          <w:bCs/>
        </w:rPr>
        <w:t>Drought (+10% reduction in yields)</w:t>
      </w:r>
      <w:r w:rsidRPr="00EA24D6">
        <w:rPr>
          <w:rFonts w:ascii="Times New Roman" w:hAnsi="Times New Roman" w:cs="Times New Roman"/>
        </w:rPr>
        <w:t>: Results indicate a marked increase in vulnerability in already fragile regions, particularly Upper East and Northern. The impact is less pronounced in Accra and Ashanti, where stronger market systems buffer production shocks.</w:t>
      </w:r>
    </w:p>
    <w:p w14:paraId="7FF454AA" w14:textId="77777777" w:rsidR="00EA24D6" w:rsidRPr="00EA24D6" w:rsidRDefault="00EA24D6" w:rsidP="00476C35">
      <w:pPr>
        <w:numPr>
          <w:ilvl w:val="0"/>
          <w:numId w:val="3"/>
        </w:numPr>
        <w:spacing w:line="360" w:lineRule="auto"/>
        <w:jc w:val="both"/>
        <w:rPr>
          <w:rFonts w:ascii="Times New Roman" w:hAnsi="Times New Roman" w:cs="Times New Roman"/>
        </w:rPr>
      </w:pPr>
      <w:r w:rsidRPr="00EA24D6">
        <w:rPr>
          <w:rFonts w:ascii="Times New Roman" w:hAnsi="Times New Roman" w:cs="Times New Roman"/>
          <w:b/>
          <w:bCs/>
        </w:rPr>
        <w:t>Protein −5% Availability</w:t>
      </w:r>
      <w:r w:rsidRPr="00EA24D6">
        <w:rPr>
          <w:rFonts w:ascii="Times New Roman" w:hAnsi="Times New Roman" w:cs="Times New Roman"/>
        </w:rPr>
        <w:t>: This scenario highlights how even small declines in protein intake disproportionately increase vulnerability. Protein is a critical driver of resilience; reductions lead to heightened nutritional risk, especially in regions already facing dietary limitations.</w:t>
      </w:r>
    </w:p>
    <w:p w14:paraId="0F21E48F" w14:textId="2072FBE8" w:rsidR="003B66AC" w:rsidRDefault="003B66AC" w:rsidP="003B66AC">
      <w:pPr>
        <w:pStyle w:val="Caption"/>
        <w:keepNext/>
        <w:jc w:val="both"/>
      </w:pPr>
      <w:r>
        <w:t xml:space="preserve">Figure </w:t>
      </w:r>
      <w:r w:rsidR="0069249C">
        <w:fldChar w:fldCharType="begin"/>
      </w:r>
      <w:r w:rsidR="0069249C">
        <w:instrText xml:space="preserve"> SEQ Figure \* ARABIC </w:instrText>
      </w:r>
      <w:r w:rsidR="0069249C">
        <w:fldChar w:fldCharType="separate"/>
      </w:r>
      <w:r w:rsidR="00546B39">
        <w:rPr>
          <w:noProof/>
        </w:rPr>
        <w:t>7</w:t>
      </w:r>
      <w:r w:rsidR="0069249C">
        <w:rPr>
          <w:noProof/>
        </w:rPr>
        <w:fldChar w:fldCharType="end"/>
      </w:r>
      <w:r>
        <w:t xml:space="preserve">: </w:t>
      </w:r>
      <w:r w:rsidRPr="004E16D3">
        <w:t>Vulnerability shifts under drought and protein scenarios.</w:t>
      </w:r>
    </w:p>
    <w:p w14:paraId="05E28908" w14:textId="1B88BC2B" w:rsidR="00EA24D6" w:rsidRPr="00EA24D6" w:rsidRDefault="00EA24D6" w:rsidP="00476C35">
      <w:pPr>
        <w:spacing w:line="360" w:lineRule="auto"/>
        <w:jc w:val="both"/>
        <w:rPr>
          <w:rFonts w:ascii="Times New Roman" w:hAnsi="Times New Roman" w:cs="Times New Roman"/>
        </w:rPr>
      </w:pPr>
      <w:r w:rsidRPr="00476C35">
        <w:rPr>
          <w:rFonts w:ascii="Times New Roman" w:hAnsi="Times New Roman" w:cs="Times New Roman"/>
          <w:noProof/>
        </w:rPr>
        <w:drawing>
          <wp:inline distT="0" distB="0" distL="0" distR="0" wp14:anchorId="67A778E3" wp14:editId="6BF74A6B">
            <wp:extent cx="5943600" cy="2863850"/>
            <wp:effectExtent l="0" t="0" r="0" b="0"/>
            <wp:docPr id="140055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50664" name=""/>
                    <pic:cNvPicPr/>
                  </pic:nvPicPr>
                  <pic:blipFill>
                    <a:blip r:embed="rId16"/>
                    <a:stretch>
                      <a:fillRect/>
                    </a:stretch>
                  </pic:blipFill>
                  <pic:spPr>
                    <a:xfrm>
                      <a:off x="0" y="0"/>
                      <a:ext cx="5943600" cy="2863850"/>
                    </a:xfrm>
                    <a:prstGeom prst="rect">
                      <a:avLst/>
                    </a:prstGeom>
                  </pic:spPr>
                </pic:pic>
              </a:graphicData>
            </a:graphic>
          </wp:inline>
        </w:drawing>
      </w:r>
    </w:p>
    <w:p w14:paraId="0E6FB207" w14:textId="7A07BD9B" w:rsidR="00EA24D6" w:rsidRDefault="00EA24D6" w:rsidP="00476C35">
      <w:pPr>
        <w:spacing w:line="360" w:lineRule="auto"/>
        <w:jc w:val="both"/>
        <w:rPr>
          <w:rFonts w:ascii="Times New Roman" w:hAnsi="Times New Roman" w:cs="Times New Roman"/>
        </w:rPr>
      </w:pPr>
      <w:r w:rsidRPr="00EA24D6">
        <w:rPr>
          <w:rFonts w:ascii="Times New Roman" w:hAnsi="Times New Roman" w:cs="Times New Roman"/>
        </w:rPr>
        <w:t xml:space="preserve">Together, these simulations show that </w:t>
      </w:r>
      <w:r w:rsidRPr="00EA24D6">
        <w:rPr>
          <w:rFonts w:ascii="Times New Roman" w:hAnsi="Times New Roman" w:cs="Times New Roman"/>
          <w:b/>
          <w:bCs/>
        </w:rPr>
        <w:t>nutritional vulnerability is highly sensitive to both climatic and dietary shocks</w:t>
      </w:r>
      <w:r w:rsidRPr="00EA24D6">
        <w:rPr>
          <w:rFonts w:ascii="Times New Roman" w:hAnsi="Times New Roman" w:cs="Times New Roman"/>
        </w:rPr>
        <w:t>, reinforcing the importance of dietary diversity and resilient agricultural systems.</w:t>
      </w:r>
    </w:p>
    <w:p w14:paraId="29C019D8" w14:textId="40500BE5" w:rsidR="00A94DA9" w:rsidRPr="00A94DA9" w:rsidRDefault="00A94DA9" w:rsidP="00A94DA9">
      <w:pPr>
        <w:spacing w:line="360" w:lineRule="auto"/>
        <w:jc w:val="both"/>
        <w:rPr>
          <w:rFonts w:ascii="Times New Roman" w:hAnsi="Times New Roman" w:cs="Times New Roman"/>
          <w:b/>
          <w:bCs/>
        </w:rPr>
      </w:pPr>
      <w:r>
        <w:rPr>
          <w:rFonts w:ascii="Times New Roman" w:hAnsi="Times New Roman" w:cs="Times New Roman"/>
          <w:b/>
          <w:bCs/>
        </w:rPr>
        <w:t xml:space="preserve">4 </w:t>
      </w:r>
      <w:r w:rsidRPr="00A94DA9">
        <w:rPr>
          <w:rFonts w:ascii="Times New Roman" w:hAnsi="Times New Roman" w:cs="Times New Roman"/>
          <w:b/>
          <w:bCs/>
        </w:rPr>
        <w:t>Dashboard Analysis (</w:t>
      </w:r>
      <w:proofErr w:type="spellStart"/>
      <w:r w:rsidRPr="00A94DA9">
        <w:rPr>
          <w:rFonts w:ascii="Times New Roman" w:hAnsi="Times New Roman" w:cs="Times New Roman"/>
          <w:b/>
          <w:bCs/>
        </w:rPr>
        <w:t>Streamlit</w:t>
      </w:r>
      <w:proofErr w:type="spellEnd"/>
      <w:r w:rsidRPr="00A94DA9">
        <w:rPr>
          <w:rFonts w:ascii="Times New Roman" w:hAnsi="Times New Roman" w:cs="Times New Roman"/>
          <w:b/>
          <w:bCs/>
        </w:rPr>
        <w:t>)</w:t>
      </w:r>
    </w:p>
    <w:p w14:paraId="49AC4E0F" w14:textId="02E10251" w:rsidR="00A94DA9" w:rsidRPr="00A94DA9" w:rsidRDefault="00A94DA9" w:rsidP="00A94DA9">
      <w:pPr>
        <w:spacing w:line="360" w:lineRule="auto"/>
        <w:ind w:firstLine="720"/>
        <w:jc w:val="both"/>
        <w:rPr>
          <w:rFonts w:ascii="Times New Roman" w:hAnsi="Times New Roman" w:cs="Times New Roman"/>
        </w:rPr>
      </w:pPr>
      <w:r w:rsidRPr="00A94DA9">
        <w:rPr>
          <w:rFonts w:ascii="Times New Roman" w:hAnsi="Times New Roman" w:cs="Times New Roman"/>
        </w:rPr>
        <w:t xml:space="preserve">In addition to the statistical and visualization work carried out in </w:t>
      </w:r>
      <w:proofErr w:type="spellStart"/>
      <w:r w:rsidR="00F1482A">
        <w:rPr>
          <w:rFonts w:ascii="Times New Roman" w:hAnsi="Times New Roman" w:cs="Times New Roman"/>
        </w:rPr>
        <w:t>Jupyter</w:t>
      </w:r>
      <w:proofErr w:type="spellEnd"/>
      <w:r w:rsidRPr="00A94DA9">
        <w:rPr>
          <w:rFonts w:ascii="Times New Roman" w:hAnsi="Times New Roman" w:cs="Times New Roman"/>
        </w:rPr>
        <w:t xml:space="preserve">, an interactive </w:t>
      </w:r>
      <w:proofErr w:type="spellStart"/>
      <w:r w:rsidRPr="00A94DA9">
        <w:rPr>
          <w:rFonts w:ascii="Times New Roman" w:hAnsi="Times New Roman" w:cs="Times New Roman"/>
          <w:b/>
          <w:bCs/>
        </w:rPr>
        <w:t>Streamlit</w:t>
      </w:r>
      <w:proofErr w:type="spellEnd"/>
      <w:r w:rsidRPr="00A94DA9">
        <w:rPr>
          <w:rFonts w:ascii="Times New Roman" w:hAnsi="Times New Roman" w:cs="Times New Roman"/>
          <w:b/>
          <w:bCs/>
        </w:rPr>
        <w:t xml:space="preserve"> dashboard</w:t>
      </w:r>
      <w:r w:rsidRPr="00A94DA9">
        <w:rPr>
          <w:rFonts w:ascii="Times New Roman" w:hAnsi="Times New Roman" w:cs="Times New Roman"/>
        </w:rPr>
        <w:t xml:space="preserve"> was developed and hosted</w:t>
      </w:r>
      <w:r>
        <w:rPr>
          <w:rFonts w:ascii="Times New Roman" w:hAnsi="Times New Roman" w:cs="Times New Roman"/>
        </w:rPr>
        <w:t xml:space="preserve"> (</w:t>
      </w:r>
      <w:hyperlink r:id="rId17" w:history="1">
        <w:r w:rsidRPr="00E55A03">
          <w:rPr>
            <w:rStyle w:val="Hyperlink"/>
            <w:rFonts w:ascii="Times New Roman" w:hAnsi="Times New Roman" w:cs="Times New Roman"/>
          </w:rPr>
          <w:t>https://resilisence.streamlit.app</w:t>
        </w:r>
      </w:hyperlink>
      <w:r>
        <w:rPr>
          <w:rFonts w:ascii="Times New Roman" w:hAnsi="Times New Roman" w:cs="Times New Roman"/>
        </w:rPr>
        <w:t xml:space="preserve"> )</w:t>
      </w:r>
      <w:r w:rsidRPr="00A94DA9">
        <w:rPr>
          <w:rFonts w:ascii="Times New Roman" w:hAnsi="Times New Roman" w:cs="Times New Roman"/>
        </w:rPr>
        <w:t xml:space="preserve">. This platform enables policymakers and practitioners to interact with the data in real time, switching between regions, visualizing key indicators, setting hotspot thresholds, and simulating policy scenarios. </w:t>
      </w:r>
      <w:r w:rsidRPr="00A94DA9">
        <w:rPr>
          <w:rFonts w:ascii="Times New Roman" w:hAnsi="Times New Roman" w:cs="Times New Roman"/>
        </w:rPr>
        <w:lastRenderedPageBreak/>
        <w:t xml:space="preserve">Importantly, the dashboard also includes a </w:t>
      </w:r>
      <w:r w:rsidRPr="00A94DA9">
        <w:rPr>
          <w:rFonts w:ascii="Times New Roman" w:hAnsi="Times New Roman" w:cs="Times New Roman"/>
          <w:b/>
          <w:bCs/>
        </w:rPr>
        <w:t>policy brief generator</w:t>
      </w:r>
      <w:r w:rsidRPr="00A94DA9">
        <w:rPr>
          <w:rFonts w:ascii="Times New Roman" w:hAnsi="Times New Roman" w:cs="Times New Roman"/>
        </w:rPr>
        <w:t>, allowing users to download evidence-based summaries tailored to each region.</w:t>
      </w:r>
    </w:p>
    <w:p w14:paraId="723B6013" w14:textId="77777777" w:rsidR="00A94DA9" w:rsidRPr="00A94DA9" w:rsidRDefault="00A94DA9" w:rsidP="00A94DA9">
      <w:pPr>
        <w:spacing w:line="360" w:lineRule="auto"/>
        <w:jc w:val="both"/>
        <w:rPr>
          <w:rFonts w:ascii="Times New Roman" w:hAnsi="Times New Roman" w:cs="Times New Roman"/>
        </w:rPr>
      </w:pPr>
      <w:r w:rsidRPr="00A94DA9">
        <w:rPr>
          <w:rFonts w:ascii="Times New Roman" w:hAnsi="Times New Roman" w:cs="Times New Roman"/>
        </w:rPr>
        <w:t>Key features of the dashboard include:</w:t>
      </w:r>
    </w:p>
    <w:p w14:paraId="68737B2B" w14:textId="77777777" w:rsidR="00F1482A" w:rsidRDefault="00A94DA9" w:rsidP="00A94DA9">
      <w:pPr>
        <w:numPr>
          <w:ilvl w:val="0"/>
          <w:numId w:val="6"/>
        </w:numPr>
        <w:spacing w:line="360" w:lineRule="auto"/>
        <w:jc w:val="both"/>
        <w:rPr>
          <w:rFonts w:ascii="Times New Roman" w:hAnsi="Times New Roman" w:cs="Times New Roman"/>
        </w:rPr>
      </w:pPr>
      <w:r w:rsidRPr="00A94DA9">
        <w:rPr>
          <w:rFonts w:ascii="Times New Roman" w:hAnsi="Times New Roman" w:cs="Times New Roman"/>
          <w:b/>
          <w:bCs/>
        </w:rPr>
        <w:t>Overview Tab</w:t>
      </w:r>
      <w:r w:rsidRPr="00A94DA9">
        <w:rPr>
          <w:rFonts w:ascii="Times New Roman" w:hAnsi="Times New Roman" w:cs="Times New Roman"/>
        </w:rPr>
        <w:t xml:space="preserve"> – Regional snapshots of KPIs.</w:t>
      </w:r>
    </w:p>
    <w:p w14:paraId="6AE1B5CE" w14:textId="31490806" w:rsidR="00A94DA9" w:rsidRDefault="00A94DA9" w:rsidP="00F1482A">
      <w:pPr>
        <w:spacing w:line="360" w:lineRule="auto"/>
        <w:ind w:left="720"/>
        <w:jc w:val="both"/>
        <w:rPr>
          <w:rFonts w:ascii="Times New Roman" w:hAnsi="Times New Roman" w:cs="Times New Roman"/>
        </w:rPr>
      </w:pPr>
      <w:r w:rsidRPr="00A94DA9">
        <w:rPr>
          <w:rFonts w:ascii="Times New Roman" w:hAnsi="Times New Roman" w:cs="Times New Roman"/>
          <w:i/>
          <w:iCs/>
        </w:rPr>
        <w:t>Example (Greater Accra):</w:t>
      </w:r>
      <w:r w:rsidRPr="00A94DA9">
        <w:rPr>
          <w:rFonts w:ascii="Times New Roman" w:hAnsi="Times New Roman" w:cs="Times New Roman"/>
        </w:rPr>
        <w:t xml:space="preserve"> Risk level: </w:t>
      </w:r>
      <w:r w:rsidRPr="00A94DA9">
        <w:rPr>
          <w:rFonts w:ascii="Times New Roman" w:hAnsi="Times New Roman" w:cs="Times New Roman"/>
          <w:i/>
          <w:iCs/>
        </w:rPr>
        <w:t>Medium</w:t>
      </w:r>
      <w:r w:rsidRPr="00A94DA9">
        <w:rPr>
          <w:rFonts w:ascii="Times New Roman" w:hAnsi="Times New Roman" w:cs="Times New Roman"/>
        </w:rPr>
        <w:t xml:space="preserve">; diet adequacy: </w:t>
      </w:r>
      <w:r w:rsidRPr="00A94DA9">
        <w:rPr>
          <w:rFonts w:ascii="Times New Roman" w:hAnsi="Times New Roman" w:cs="Times New Roman"/>
          <w:i/>
          <w:iCs/>
        </w:rPr>
        <w:t>61.1%</w:t>
      </w:r>
      <w:r w:rsidRPr="00A94DA9">
        <w:rPr>
          <w:rFonts w:ascii="Times New Roman" w:hAnsi="Times New Roman" w:cs="Times New Roman"/>
        </w:rPr>
        <w:t xml:space="preserve"> (&lt;70% threshold); key gaps in Thiamin (37%), Zinc (40%), Kcal (45%). Moderate drought stress (0.32).</w:t>
      </w:r>
    </w:p>
    <w:p w14:paraId="472E4AB7" w14:textId="33205522" w:rsidR="00A94DA9" w:rsidRPr="00A94DA9" w:rsidRDefault="00A94DA9" w:rsidP="00A94DA9">
      <w:pPr>
        <w:spacing w:line="360" w:lineRule="auto"/>
        <w:ind w:left="720"/>
        <w:jc w:val="both"/>
        <w:rPr>
          <w:rFonts w:ascii="Times New Roman" w:hAnsi="Times New Roman" w:cs="Times New Roman"/>
        </w:rPr>
      </w:pPr>
      <w:r w:rsidRPr="00A94DA9">
        <w:rPr>
          <w:rFonts w:ascii="Times New Roman" w:hAnsi="Times New Roman" w:cs="Times New Roman"/>
          <w:noProof/>
        </w:rPr>
        <w:drawing>
          <wp:inline distT="0" distB="0" distL="0" distR="0" wp14:anchorId="7A6EBA03" wp14:editId="15BC4536">
            <wp:extent cx="5943600" cy="3079115"/>
            <wp:effectExtent l="0" t="0" r="0" b="6985"/>
            <wp:docPr id="36209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95530" name=""/>
                    <pic:cNvPicPr/>
                  </pic:nvPicPr>
                  <pic:blipFill>
                    <a:blip r:embed="rId18"/>
                    <a:stretch>
                      <a:fillRect/>
                    </a:stretch>
                  </pic:blipFill>
                  <pic:spPr>
                    <a:xfrm>
                      <a:off x="0" y="0"/>
                      <a:ext cx="5943600" cy="3079115"/>
                    </a:xfrm>
                    <a:prstGeom prst="rect">
                      <a:avLst/>
                    </a:prstGeom>
                  </pic:spPr>
                </pic:pic>
              </a:graphicData>
            </a:graphic>
          </wp:inline>
        </w:drawing>
      </w:r>
    </w:p>
    <w:p w14:paraId="0CDD2FBC" w14:textId="77777777" w:rsidR="00F1482A" w:rsidRDefault="00A94DA9" w:rsidP="00A94DA9">
      <w:pPr>
        <w:numPr>
          <w:ilvl w:val="0"/>
          <w:numId w:val="6"/>
        </w:numPr>
        <w:spacing w:line="360" w:lineRule="auto"/>
        <w:jc w:val="both"/>
        <w:rPr>
          <w:rFonts w:ascii="Times New Roman" w:hAnsi="Times New Roman" w:cs="Times New Roman"/>
        </w:rPr>
      </w:pPr>
      <w:r w:rsidRPr="00A94DA9">
        <w:rPr>
          <w:rFonts w:ascii="Times New Roman" w:hAnsi="Times New Roman" w:cs="Times New Roman"/>
          <w:b/>
          <w:bCs/>
        </w:rPr>
        <w:t>Nutrition Profile (Radar Chart)</w:t>
      </w:r>
      <w:r w:rsidRPr="00A94DA9">
        <w:rPr>
          <w:rFonts w:ascii="Times New Roman" w:hAnsi="Times New Roman" w:cs="Times New Roman"/>
        </w:rPr>
        <w:t xml:space="preserve"> – Fingerprint visualization of nutrient adequacy.</w:t>
      </w:r>
    </w:p>
    <w:p w14:paraId="7008983E" w14:textId="1C7D049C" w:rsidR="00A94DA9" w:rsidRDefault="00A94DA9" w:rsidP="00F1482A">
      <w:pPr>
        <w:spacing w:line="360" w:lineRule="auto"/>
        <w:ind w:left="720"/>
        <w:jc w:val="both"/>
        <w:rPr>
          <w:rFonts w:ascii="Times New Roman" w:hAnsi="Times New Roman" w:cs="Times New Roman"/>
        </w:rPr>
      </w:pPr>
      <w:r w:rsidRPr="00A94DA9">
        <w:rPr>
          <w:rFonts w:ascii="Times New Roman" w:hAnsi="Times New Roman" w:cs="Times New Roman"/>
          <w:i/>
          <w:iCs/>
        </w:rPr>
        <w:t>Example (Greater Accra):</w:t>
      </w:r>
      <w:r w:rsidRPr="00A94DA9">
        <w:rPr>
          <w:rFonts w:ascii="Times New Roman" w:hAnsi="Times New Roman" w:cs="Times New Roman"/>
        </w:rPr>
        <w:t xml:space="preserve"> Adequate Vitamin A, B6, B12; shortfalls in Vitamin C, Calcium, Zinc, Thiamin, Kcal.</w:t>
      </w:r>
    </w:p>
    <w:p w14:paraId="15ED2F14" w14:textId="6077A9EC" w:rsidR="00A94DA9" w:rsidRPr="00A94DA9" w:rsidRDefault="00A94DA9" w:rsidP="00A94DA9">
      <w:pPr>
        <w:spacing w:line="360" w:lineRule="auto"/>
        <w:ind w:left="720"/>
        <w:jc w:val="both"/>
        <w:rPr>
          <w:rFonts w:ascii="Times New Roman" w:hAnsi="Times New Roman" w:cs="Times New Roman"/>
        </w:rPr>
      </w:pPr>
      <w:r w:rsidRPr="00A94DA9">
        <w:rPr>
          <w:rFonts w:ascii="Times New Roman" w:hAnsi="Times New Roman" w:cs="Times New Roman"/>
          <w:noProof/>
        </w:rPr>
        <w:lastRenderedPageBreak/>
        <w:drawing>
          <wp:inline distT="0" distB="0" distL="0" distR="0" wp14:anchorId="69BEB4A0" wp14:editId="44F2C210">
            <wp:extent cx="5943600" cy="3139440"/>
            <wp:effectExtent l="0" t="0" r="0" b="3810"/>
            <wp:docPr id="46220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09303" name=""/>
                    <pic:cNvPicPr/>
                  </pic:nvPicPr>
                  <pic:blipFill>
                    <a:blip r:embed="rId19"/>
                    <a:stretch>
                      <a:fillRect/>
                    </a:stretch>
                  </pic:blipFill>
                  <pic:spPr>
                    <a:xfrm>
                      <a:off x="0" y="0"/>
                      <a:ext cx="5943600" cy="3139440"/>
                    </a:xfrm>
                    <a:prstGeom prst="rect">
                      <a:avLst/>
                    </a:prstGeom>
                  </pic:spPr>
                </pic:pic>
              </a:graphicData>
            </a:graphic>
          </wp:inline>
        </w:drawing>
      </w:r>
    </w:p>
    <w:p w14:paraId="14C57ED5" w14:textId="77777777" w:rsidR="00A94DA9" w:rsidRPr="00A94DA9" w:rsidRDefault="00A94DA9" w:rsidP="00A94DA9">
      <w:pPr>
        <w:numPr>
          <w:ilvl w:val="0"/>
          <w:numId w:val="6"/>
        </w:numPr>
        <w:spacing w:line="360" w:lineRule="auto"/>
        <w:jc w:val="both"/>
        <w:rPr>
          <w:rFonts w:ascii="Times New Roman" w:hAnsi="Times New Roman" w:cs="Times New Roman"/>
        </w:rPr>
      </w:pPr>
      <w:r w:rsidRPr="00A94DA9">
        <w:rPr>
          <w:rFonts w:ascii="Times New Roman" w:hAnsi="Times New Roman" w:cs="Times New Roman"/>
          <w:b/>
          <w:bCs/>
        </w:rPr>
        <w:t>Vulnerability Heat</w:t>
      </w:r>
      <w:r w:rsidRPr="00A94DA9">
        <w:rPr>
          <w:rFonts w:ascii="Times New Roman" w:hAnsi="Times New Roman" w:cs="Times New Roman"/>
        </w:rPr>
        <w:t xml:space="preserve"> – Heatmaps of composite and domain-specific vulnerabilities.</w:t>
      </w:r>
    </w:p>
    <w:p w14:paraId="779F720A" w14:textId="77777777" w:rsidR="00A94DA9" w:rsidRPr="00A94DA9" w:rsidRDefault="00A94DA9" w:rsidP="00A94DA9">
      <w:pPr>
        <w:numPr>
          <w:ilvl w:val="0"/>
          <w:numId w:val="6"/>
        </w:numPr>
        <w:spacing w:line="360" w:lineRule="auto"/>
        <w:jc w:val="both"/>
        <w:rPr>
          <w:rFonts w:ascii="Times New Roman" w:hAnsi="Times New Roman" w:cs="Times New Roman"/>
        </w:rPr>
      </w:pPr>
      <w:r w:rsidRPr="00A94DA9">
        <w:rPr>
          <w:rFonts w:ascii="Times New Roman" w:hAnsi="Times New Roman" w:cs="Times New Roman"/>
          <w:b/>
          <w:bCs/>
        </w:rPr>
        <w:t>Correlation Explorer</w:t>
      </w:r>
      <w:r w:rsidRPr="00A94DA9">
        <w:rPr>
          <w:rFonts w:ascii="Times New Roman" w:hAnsi="Times New Roman" w:cs="Times New Roman"/>
        </w:rPr>
        <w:t xml:space="preserve"> – Interactive scatter plots to analyze nutrient–vulnerability relationships.</w:t>
      </w:r>
    </w:p>
    <w:p w14:paraId="785BCA4F" w14:textId="77777777" w:rsidR="00F1482A" w:rsidRDefault="00A94DA9" w:rsidP="00A94DA9">
      <w:pPr>
        <w:numPr>
          <w:ilvl w:val="0"/>
          <w:numId w:val="6"/>
        </w:numPr>
        <w:spacing w:line="360" w:lineRule="auto"/>
        <w:jc w:val="both"/>
        <w:rPr>
          <w:rFonts w:ascii="Times New Roman" w:hAnsi="Times New Roman" w:cs="Times New Roman"/>
        </w:rPr>
      </w:pPr>
      <w:r w:rsidRPr="00A94DA9">
        <w:rPr>
          <w:rFonts w:ascii="Times New Roman" w:hAnsi="Times New Roman" w:cs="Times New Roman"/>
          <w:b/>
          <w:bCs/>
        </w:rPr>
        <w:t>Compare Regions</w:t>
      </w:r>
      <w:r w:rsidRPr="00A94DA9">
        <w:rPr>
          <w:rFonts w:ascii="Times New Roman" w:hAnsi="Times New Roman" w:cs="Times New Roman"/>
        </w:rPr>
        <w:t xml:space="preserve"> – Side-by-side comparisons.</w:t>
      </w:r>
    </w:p>
    <w:p w14:paraId="3AE6E078" w14:textId="1A6DAA4A" w:rsidR="00A94DA9" w:rsidRDefault="00A94DA9" w:rsidP="00F1482A">
      <w:pPr>
        <w:spacing w:line="360" w:lineRule="auto"/>
        <w:ind w:left="720"/>
        <w:jc w:val="both"/>
        <w:rPr>
          <w:rFonts w:ascii="Times New Roman" w:hAnsi="Times New Roman" w:cs="Times New Roman"/>
        </w:rPr>
      </w:pPr>
      <w:r w:rsidRPr="00A94DA9">
        <w:rPr>
          <w:rFonts w:ascii="Times New Roman" w:hAnsi="Times New Roman" w:cs="Times New Roman"/>
          <w:i/>
          <w:iCs/>
        </w:rPr>
        <w:t>Example: Ashanti vs. Brong Ahafo:</w:t>
      </w:r>
      <w:r w:rsidRPr="00A94DA9">
        <w:rPr>
          <w:rFonts w:ascii="Times New Roman" w:hAnsi="Times New Roman" w:cs="Times New Roman"/>
        </w:rPr>
        <w:t xml:space="preserve"> Ashanti shows lower composite vulnerability (0.31 vs. 0.39) but weaker nutrient adequacy (58.4% vs. 61.1%).</w:t>
      </w:r>
    </w:p>
    <w:p w14:paraId="4C0C36C8" w14:textId="46D2D484" w:rsidR="00A94DA9" w:rsidRPr="00A94DA9" w:rsidRDefault="00A94DA9" w:rsidP="00A94DA9">
      <w:pPr>
        <w:spacing w:line="360" w:lineRule="auto"/>
        <w:ind w:left="720"/>
        <w:jc w:val="both"/>
        <w:rPr>
          <w:rFonts w:ascii="Times New Roman" w:hAnsi="Times New Roman" w:cs="Times New Roman"/>
        </w:rPr>
      </w:pPr>
      <w:r w:rsidRPr="00A94DA9">
        <w:rPr>
          <w:rFonts w:ascii="Times New Roman" w:hAnsi="Times New Roman" w:cs="Times New Roman"/>
          <w:noProof/>
        </w:rPr>
        <w:drawing>
          <wp:inline distT="0" distB="0" distL="0" distR="0" wp14:anchorId="212F93E3" wp14:editId="37BB0F4D">
            <wp:extent cx="5943600" cy="2628900"/>
            <wp:effectExtent l="0" t="0" r="0" b="0"/>
            <wp:docPr id="49115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59253" name=""/>
                    <pic:cNvPicPr/>
                  </pic:nvPicPr>
                  <pic:blipFill>
                    <a:blip r:embed="rId20"/>
                    <a:stretch>
                      <a:fillRect/>
                    </a:stretch>
                  </pic:blipFill>
                  <pic:spPr>
                    <a:xfrm>
                      <a:off x="0" y="0"/>
                      <a:ext cx="5943600" cy="2628900"/>
                    </a:xfrm>
                    <a:prstGeom prst="rect">
                      <a:avLst/>
                    </a:prstGeom>
                  </pic:spPr>
                </pic:pic>
              </a:graphicData>
            </a:graphic>
          </wp:inline>
        </w:drawing>
      </w:r>
    </w:p>
    <w:p w14:paraId="06C4DDB1" w14:textId="77777777" w:rsidR="00F1482A" w:rsidRDefault="00A94DA9" w:rsidP="00A94DA9">
      <w:pPr>
        <w:numPr>
          <w:ilvl w:val="0"/>
          <w:numId w:val="6"/>
        </w:numPr>
        <w:spacing w:line="360" w:lineRule="auto"/>
        <w:jc w:val="both"/>
        <w:rPr>
          <w:rFonts w:ascii="Times New Roman" w:hAnsi="Times New Roman" w:cs="Times New Roman"/>
        </w:rPr>
      </w:pPr>
      <w:r w:rsidRPr="00A94DA9">
        <w:rPr>
          <w:rFonts w:ascii="Times New Roman" w:hAnsi="Times New Roman" w:cs="Times New Roman"/>
          <w:b/>
          <w:bCs/>
        </w:rPr>
        <w:lastRenderedPageBreak/>
        <w:t>Scenario &amp; Brief</w:t>
      </w:r>
      <w:r w:rsidRPr="00A94DA9">
        <w:rPr>
          <w:rFonts w:ascii="Times New Roman" w:hAnsi="Times New Roman" w:cs="Times New Roman"/>
        </w:rPr>
        <w:t xml:space="preserve"> – Users can simulate shocks (e.g., drought +10%) and automatically generate </w:t>
      </w:r>
      <w:r w:rsidRPr="00A94DA9">
        <w:rPr>
          <w:rFonts w:ascii="Times New Roman" w:hAnsi="Times New Roman" w:cs="Times New Roman"/>
          <w:b/>
          <w:bCs/>
        </w:rPr>
        <w:t>policy briefs</w:t>
      </w:r>
      <w:r w:rsidRPr="00A94DA9">
        <w:rPr>
          <w:rFonts w:ascii="Times New Roman" w:hAnsi="Times New Roman" w:cs="Times New Roman"/>
        </w:rPr>
        <w:t xml:space="preserve"> with targeted recommendations.</w:t>
      </w:r>
    </w:p>
    <w:p w14:paraId="463E38BB" w14:textId="497994C2" w:rsidR="00A94DA9" w:rsidRDefault="00A94DA9" w:rsidP="00F1482A">
      <w:pPr>
        <w:spacing w:line="360" w:lineRule="auto"/>
        <w:ind w:left="720"/>
        <w:jc w:val="both"/>
        <w:rPr>
          <w:rFonts w:ascii="Times New Roman" w:hAnsi="Times New Roman" w:cs="Times New Roman"/>
        </w:rPr>
      </w:pPr>
      <w:r w:rsidRPr="00A94DA9">
        <w:rPr>
          <w:rFonts w:ascii="Times New Roman" w:hAnsi="Times New Roman" w:cs="Times New Roman"/>
          <w:i/>
          <w:iCs/>
        </w:rPr>
        <w:t>Example (Greater Accra brief):</w:t>
      </w:r>
      <w:r w:rsidRPr="00A94DA9">
        <w:rPr>
          <w:rFonts w:ascii="Times New Roman" w:hAnsi="Times New Roman" w:cs="Times New Roman"/>
        </w:rPr>
        <w:t xml:space="preserve"> Composite 0.13; key nutrient gaps: Thiamin 36.8%, Zinc 40.4%, Kcal 45.3%. Suggested actions: expand iron-rich food programs and strengthen anemia screening.</w:t>
      </w:r>
    </w:p>
    <w:p w14:paraId="1BDFFB70" w14:textId="1B3EE3B9" w:rsidR="00A94DA9" w:rsidRPr="00A94DA9" w:rsidRDefault="00A94DA9" w:rsidP="00A94DA9">
      <w:pPr>
        <w:spacing w:line="360" w:lineRule="auto"/>
        <w:ind w:left="720"/>
        <w:jc w:val="both"/>
        <w:rPr>
          <w:rFonts w:ascii="Times New Roman" w:hAnsi="Times New Roman" w:cs="Times New Roman"/>
        </w:rPr>
      </w:pPr>
      <w:r w:rsidRPr="00A94DA9">
        <w:rPr>
          <w:rFonts w:ascii="Times New Roman" w:hAnsi="Times New Roman" w:cs="Times New Roman"/>
          <w:noProof/>
        </w:rPr>
        <w:drawing>
          <wp:inline distT="0" distB="0" distL="0" distR="0" wp14:anchorId="56B2EE19" wp14:editId="7FA59628">
            <wp:extent cx="5943600" cy="2757170"/>
            <wp:effectExtent l="0" t="0" r="0" b="5080"/>
            <wp:docPr id="170195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54410" name=""/>
                    <pic:cNvPicPr/>
                  </pic:nvPicPr>
                  <pic:blipFill>
                    <a:blip r:embed="rId21"/>
                    <a:stretch>
                      <a:fillRect/>
                    </a:stretch>
                  </pic:blipFill>
                  <pic:spPr>
                    <a:xfrm>
                      <a:off x="0" y="0"/>
                      <a:ext cx="5943600" cy="2757170"/>
                    </a:xfrm>
                    <a:prstGeom prst="rect">
                      <a:avLst/>
                    </a:prstGeom>
                  </pic:spPr>
                </pic:pic>
              </a:graphicData>
            </a:graphic>
          </wp:inline>
        </w:drawing>
      </w:r>
    </w:p>
    <w:p w14:paraId="2D53AF0B" w14:textId="77777777" w:rsidR="00A94DA9" w:rsidRPr="00EA24D6" w:rsidRDefault="00A94DA9" w:rsidP="00476C35">
      <w:pPr>
        <w:spacing w:line="360" w:lineRule="auto"/>
        <w:jc w:val="both"/>
        <w:rPr>
          <w:rFonts w:ascii="Times New Roman" w:hAnsi="Times New Roman" w:cs="Times New Roman"/>
        </w:rPr>
      </w:pPr>
    </w:p>
    <w:p w14:paraId="6E0D66DF" w14:textId="77777777" w:rsidR="00EA24D6" w:rsidRPr="00EA24D6" w:rsidRDefault="00EA24D6" w:rsidP="00476C35">
      <w:pPr>
        <w:spacing w:line="360" w:lineRule="auto"/>
        <w:jc w:val="center"/>
        <w:rPr>
          <w:rFonts w:ascii="Times New Roman" w:hAnsi="Times New Roman" w:cs="Times New Roman"/>
          <w:b/>
          <w:bCs/>
        </w:rPr>
      </w:pPr>
      <w:r w:rsidRPr="00EA24D6">
        <w:rPr>
          <w:rFonts w:ascii="Times New Roman" w:hAnsi="Times New Roman" w:cs="Times New Roman"/>
          <w:b/>
          <w:bCs/>
        </w:rPr>
        <w:t>4. Discussion</w:t>
      </w:r>
    </w:p>
    <w:p w14:paraId="133058EC" w14:textId="77777777" w:rsidR="00EA24D6" w:rsidRPr="00EA24D6" w:rsidRDefault="00EA24D6" w:rsidP="00476C35">
      <w:pPr>
        <w:spacing w:line="360" w:lineRule="auto"/>
        <w:ind w:firstLine="360"/>
        <w:jc w:val="both"/>
        <w:rPr>
          <w:rFonts w:ascii="Times New Roman" w:hAnsi="Times New Roman" w:cs="Times New Roman"/>
        </w:rPr>
      </w:pPr>
      <w:r w:rsidRPr="00EA24D6">
        <w:rPr>
          <w:rFonts w:ascii="Times New Roman" w:hAnsi="Times New Roman" w:cs="Times New Roman"/>
        </w:rPr>
        <w:t>The findings demonstrate that Ghana’s food security challenge is not uniform but regionally differentiated. Three key themes emerge:</w:t>
      </w:r>
    </w:p>
    <w:p w14:paraId="40D01C64" w14:textId="77777777" w:rsidR="00EA24D6" w:rsidRPr="00EA24D6" w:rsidRDefault="00EA24D6" w:rsidP="00476C35">
      <w:pPr>
        <w:numPr>
          <w:ilvl w:val="0"/>
          <w:numId w:val="4"/>
        </w:numPr>
        <w:spacing w:line="360" w:lineRule="auto"/>
        <w:jc w:val="both"/>
        <w:rPr>
          <w:rFonts w:ascii="Times New Roman" w:hAnsi="Times New Roman" w:cs="Times New Roman"/>
        </w:rPr>
      </w:pPr>
      <w:r w:rsidRPr="00EA24D6">
        <w:rPr>
          <w:rFonts w:ascii="Times New Roman" w:hAnsi="Times New Roman" w:cs="Times New Roman"/>
          <w:b/>
          <w:bCs/>
        </w:rPr>
        <w:t>Nutritional Diversity is Central</w:t>
      </w:r>
      <w:r w:rsidRPr="00EA24D6">
        <w:rPr>
          <w:rFonts w:ascii="Times New Roman" w:hAnsi="Times New Roman" w:cs="Times New Roman"/>
        </w:rPr>
        <w:t>: Calorie sufficiency does not guarantee resilience. Regions with greater access to proteins and micronutrients show markedly lower vulnerability. This underscores the need for nutrition-sensitive agriculture and dietary diversification policies.</w:t>
      </w:r>
    </w:p>
    <w:p w14:paraId="0ADE0D2F" w14:textId="77777777" w:rsidR="00EA24D6" w:rsidRPr="00EA24D6" w:rsidRDefault="00EA24D6" w:rsidP="00476C35">
      <w:pPr>
        <w:numPr>
          <w:ilvl w:val="0"/>
          <w:numId w:val="4"/>
        </w:numPr>
        <w:spacing w:line="360" w:lineRule="auto"/>
        <w:jc w:val="both"/>
        <w:rPr>
          <w:rFonts w:ascii="Times New Roman" w:hAnsi="Times New Roman" w:cs="Times New Roman"/>
        </w:rPr>
      </w:pPr>
      <w:r w:rsidRPr="00EA24D6">
        <w:rPr>
          <w:rFonts w:ascii="Times New Roman" w:hAnsi="Times New Roman" w:cs="Times New Roman"/>
          <w:b/>
          <w:bCs/>
        </w:rPr>
        <w:t>North–South Inequality</w:t>
      </w:r>
      <w:r w:rsidRPr="00EA24D6">
        <w:rPr>
          <w:rFonts w:ascii="Times New Roman" w:hAnsi="Times New Roman" w:cs="Times New Roman"/>
        </w:rPr>
        <w:t>: The vulnerability gap between northern and southern regions highlights structural inequalities. Investments in irrigation, storage, and infrastructure in northern Ghana are essential to reduce reliance on rain-fed agriculture.</w:t>
      </w:r>
    </w:p>
    <w:p w14:paraId="03AC8A49" w14:textId="77777777" w:rsidR="00EA24D6" w:rsidRPr="00EA24D6" w:rsidRDefault="00EA24D6" w:rsidP="00476C35">
      <w:pPr>
        <w:numPr>
          <w:ilvl w:val="0"/>
          <w:numId w:val="4"/>
        </w:numPr>
        <w:spacing w:line="360" w:lineRule="auto"/>
        <w:jc w:val="both"/>
        <w:rPr>
          <w:rFonts w:ascii="Times New Roman" w:hAnsi="Times New Roman" w:cs="Times New Roman"/>
        </w:rPr>
      </w:pPr>
      <w:r w:rsidRPr="00EA24D6">
        <w:rPr>
          <w:rFonts w:ascii="Times New Roman" w:hAnsi="Times New Roman" w:cs="Times New Roman"/>
          <w:b/>
          <w:bCs/>
        </w:rPr>
        <w:lastRenderedPageBreak/>
        <w:t>Sensitivity to Shocks</w:t>
      </w:r>
      <w:r w:rsidRPr="00EA24D6">
        <w:rPr>
          <w:rFonts w:ascii="Times New Roman" w:hAnsi="Times New Roman" w:cs="Times New Roman"/>
        </w:rPr>
        <w:t>: The scenario simulations confirm that even modest shocks can significantly worsen vulnerability. Climate change is likely to exacerbate drought risks, while economic shocks may restrict access to proteins. Strengthening adaptive capacity at both household and regional levels is crucial.</w:t>
      </w:r>
    </w:p>
    <w:p w14:paraId="3077EC3F" w14:textId="50E267E4" w:rsidR="00EA24D6" w:rsidRPr="00EA24D6" w:rsidRDefault="00EA24D6" w:rsidP="00476C35">
      <w:pPr>
        <w:spacing w:line="360" w:lineRule="auto"/>
        <w:jc w:val="both"/>
        <w:rPr>
          <w:rFonts w:ascii="Times New Roman" w:hAnsi="Times New Roman" w:cs="Times New Roman"/>
        </w:rPr>
      </w:pPr>
      <w:r w:rsidRPr="00EA24D6">
        <w:rPr>
          <w:rFonts w:ascii="Times New Roman" w:hAnsi="Times New Roman" w:cs="Times New Roman"/>
        </w:rPr>
        <w:t>These insights align with broader evidence that food security interventions must combine agricultural productivity gains with nutrition education, market access, and social safety nets.</w:t>
      </w:r>
    </w:p>
    <w:p w14:paraId="03AF0C0D" w14:textId="77777777" w:rsidR="00EA24D6" w:rsidRPr="00EA24D6" w:rsidRDefault="00EA24D6" w:rsidP="00476C35">
      <w:pPr>
        <w:spacing w:line="360" w:lineRule="auto"/>
        <w:jc w:val="center"/>
        <w:rPr>
          <w:rFonts w:ascii="Times New Roman" w:hAnsi="Times New Roman" w:cs="Times New Roman"/>
          <w:b/>
          <w:bCs/>
        </w:rPr>
      </w:pPr>
      <w:r w:rsidRPr="00EA24D6">
        <w:rPr>
          <w:rFonts w:ascii="Times New Roman" w:hAnsi="Times New Roman" w:cs="Times New Roman"/>
          <w:b/>
          <w:bCs/>
        </w:rPr>
        <w:t>5. Policy Implications and Recommendations</w:t>
      </w:r>
    </w:p>
    <w:p w14:paraId="6D6DF60F" w14:textId="77777777" w:rsidR="00EA24D6" w:rsidRPr="00EA24D6" w:rsidRDefault="00EA24D6" w:rsidP="00476C35">
      <w:pPr>
        <w:numPr>
          <w:ilvl w:val="0"/>
          <w:numId w:val="5"/>
        </w:numPr>
        <w:spacing w:line="360" w:lineRule="auto"/>
        <w:jc w:val="both"/>
        <w:rPr>
          <w:rFonts w:ascii="Times New Roman" w:hAnsi="Times New Roman" w:cs="Times New Roman"/>
        </w:rPr>
      </w:pPr>
      <w:r w:rsidRPr="00EA24D6">
        <w:rPr>
          <w:rFonts w:ascii="Times New Roman" w:hAnsi="Times New Roman" w:cs="Times New Roman"/>
          <w:b/>
          <w:bCs/>
        </w:rPr>
        <w:t>Nutrition-Sensitive Agriculture</w:t>
      </w:r>
      <w:r w:rsidRPr="00EA24D6">
        <w:rPr>
          <w:rFonts w:ascii="Times New Roman" w:hAnsi="Times New Roman" w:cs="Times New Roman"/>
        </w:rPr>
        <w:t>: Promote production and consumption of protein-rich and micronutrient-dense foods (legumes, poultry, vegetables).</w:t>
      </w:r>
    </w:p>
    <w:p w14:paraId="2E858527" w14:textId="77777777" w:rsidR="00EA24D6" w:rsidRPr="00EA24D6" w:rsidRDefault="00EA24D6" w:rsidP="00476C35">
      <w:pPr>
        <w:numPr>
          <w:ilvl w:val="0"/>
          <w:numId w:val="5"/>
        </w:numPr>
        <w:spacing w:line="360" w:lineRule="auto"/>
        <w:jc w:val="both"/>
        <w:rPr>
          <w:rFonts w:ascii="Times New Roman" w:hAnsi="Times New Roman" w:cs="Times New Roman"/>
        </w:rPr>
      </w:pPr>
      <w:r w:rsidRPr="00EA24D6">
        <w:rPr>
          <w:rFonts w:ascii="Times New Roman" w:hAnsi="Times New Roman" w:cs="Times New Roman"/>
          <w:b/>
          <w:bCs/>
        </w:rPr>
        <w:t>Regional Investment Priorities</w:t>
      </w:r>
      <w:r w:rsidRPr="00EA24D6">
        <w:rPr>
          <w:rFonts w:ascii="Times New Roman" w:hAnsi="Times New Roman" w:cs="Times New Roman"/>
        </w:rPr>
        <w:t>: Focus infrastructure, irrigation, and storage development in northern regions to mitigate climatic vulnerability.</w:t>
      </w:r>
    </w:p>
    <w:p w14:paraId="5351EBA1" w14:textId="77777777" w:rsidR="00EA24D6" w:rsidRPr="00EA24D6" w:rsidRDefault="00EA24D6" w:rsidP="00476C35">
      <w:pPr>
        <w:numPr>
          <w:ilvl w:val="0"/>
          <w:numId w:val="5"/>
        </w:numPr>
        <w:spacing w:line="360" w:lineRule="auto"/>
        <w:jc w:val="both"/>
        <w:rPr>
          <w:rFonts w:ascii="Times New Roman" w:hAnsi="Times New Roman" w:cs="Times New Roman"/>
        </w:rPr>
      </w:pPr>
      <w:r w:rsidRPr="00EA24D6">
        <w:rPr>
          <w:rFonts w:ascii="Times New Roman" w:hAnsi="Times New Roman" w:cs="Times New Roman"/>
          <w:b/>
          <w:bCs/>
        </w:rPr>
        <w:t>Resilience Planning</w:t>
      </w:r>
      <w:r w:rsidRPr="00EA24D6">
        <w:rPr>
          <w:rFonts w:ascii="Times New Roman" w:hAnsi="Times New Roman" w:cs="Times New Roman"/>
        </w:rPr>
        <w:t>: Integrate climate adaptation strategies into national food security frameworks, including drought-resistant crops and early warning systems.</w:t>
      </w:r>
    </w:p>
    <w:p w14:paraId="08C95DC0" w14:textId="77777777" w:rsidR="00EA24D6" w:rsidRPr="00EA24D6" w:rsidRDefault="00EA24D6" w:rsidP="00476C35">
      <w:pPr>
        <w:numPr>
          <w:ilvl w:val="0"/>
          <w:numId w:val="5"/>
        </w:numPr>
        <w:spacing w:line="360" w:lineRule="auto"/>
        <w:jc w:val="both"/>
        <w:rPr>
          <w:rFonts w:ascii="Times New Roman" w:hAnsi="Times New Roman" w:cs="Times New Roman"/>
        </w:rPr>
      </w:pPr>
      <w:r w:rsidRPr="00EA24D6">
        <w:rPr>
          <w:rFonts w:ascii="Times New Roman" w:hAnsi="Times New Roman" w:cs="Times New Roman"/>
          <w:b/>
          <w:bCs/>
        </w:rPr>
        <w:t>Targeted Social Protection</w:t>
      </w:r>
      <w:r w:rsidRPr="00EA24D6">
        <w:rPr>
          <w:rFonts w:ascii="Times New Roman" w:hAnsi="Times New Roman" w:cs="Times New Roman"/>
        </w:rPr>
        <w:t>: Expand nutrition assistance programs and safety nets in high-vulnerability regions to reduce risk exposure.</w:t>
      </w:r>
    </w:p>
    <w:p w14:paraId="55DAD689" w14:textId="66E05497" w:rsidR="00F41881" w:rsidRDefault="00EA24D6" w:rsidP="00476C35">
      <w:pPr>
        <w:numPr>
          <w:ilvl w:val="0"/>
          <w:numId w:val="5"/>
        </w:numPr>
        <w:spacing w:line="360" w:lineRule="auto"/>
        <w:jc w:val="both"/>
        <w:rPr>
          <w:rFonts w:ascii="Times New Roman" w:hAnsi="Times New Roman" w:cs="Times New Roman"/>
        </w:rPr>
      </w:pPr>
      <w:r w:rsidRPr="00EA24D6">
        <w:rPr>
          <w:rFonts w:ascii="Times New Roman" w:hAnsi="Times New Roman" w:cs="Times New Roman"/>
          <w:b/>
          <w:bCs/>
        </w:rPr>
        <w:t>Data-Driven Dashboards</w:t>
      </w:r>
      <w:r w:rsidRPr="00EA24D6">
        <w:rPr>
          <w:rFonts w:ascii="Times New Roman" w:hAnsi="Times New Roman" w:cs="Times New Roman"/>
        </w:rPr>
        <w:t>: Institutionalize the use of food security dashboards for continuous monitoring and timely decision-making.</w:t>
      </w:r>
    </w:p>
    <w:p w14:paraId="05B86B68" w14:textId="40921133" w:rsidR="00A94DA9" w:rsidRDefault="00A94DA9" w:rsidP="00A94DA9">
      <w:pPr>
        <w:spacing w:line="360" w:lineRule="auto"/>
        <w:jc w:val="both"/>
        <w:rPr>
          <w:rFonts w:ascii="Times New Roman" w:hAnsi="Times New Roman" w:cs="Times New Roman"/>
          <w:b/>
          <w:bCs/>
        </w:rPr>
      </w:pPr>
    </w:p>
    <w:p w14:paraId="3EAAB555" w14:textId="77777777" w:rsidR="00A94DA9" w:rsidRDefault="00A94DA9">
      <w:pPr>
        <w:rPr>
          <w:rFonts w:ascii="Times New Roman" w:hAnsi="Times New Roman" w:cs="Times New Roman"/>
          <w:b/>
          <w:bCs/>
        </w:rPr>
      </w:pPr>
      <w:r>
        <w:rPr>
          <w:rFonts w:ascii="Times New Roman" w:hAnsi="Times New Roman" w:cs="Times New Roman"/>
          <w:b/>
          <w:bCs/>
        </w:rPr>
        <w:br w:type="page"/>
      </w:r>
    </w:p>
    <w:p w14:paraId="22CA28F5" w14:textId="75E93DA6" w:rsidR="00A94DA9" w:rsidRPr="005012A4" w:rsidRDefault="00A94DA9" w:rsidP="005012A4">
      <w:pPr>
        <w:spacing w:line="360" w:lineRule="auto"/>
        <w:jc w:val="center"/>
        <w:rPr>
          <w:rFonts w:ascii="Times New Roman" w:hAnsi="Times New Roman" w:cs="Times New Roman"/>
          <w:b/>
          <w:bCs/>
        </w:rPr>
      </w:pPr>
      <w:r w:rsidRPr="005012A4">
        <w:rPr>
          <w:rFonts w:ascii="Times New Roman" w:hAnsi="Times New Roman" w:cs="Times New Roman"/>
          <w:b/>
          <w:bCs/>
        </w:rPr>
        <w:lastRenderedPageBreak/>
        <w:t>Appendix</w:t>
      </w:r>
    </w:p>
    <w:p w14:paraId="3C5EEA54" w14:textId="66A5C40F" w:rsidR="00546B39" w:rsidRPr="00C56ADA" w:rsidRDefault="00546B39" w:rsidP="00C56ADA">
      <w:pPr>
        <w:pStyle w:val="ListParagraph"/>
        <w:numPr>
          <w:ilvl w:val="0"/>
          <w:numId w:val="7"/>
        </w:numPr>
        <w:spacing w:line="360" w:lineRule="auto"/>
        <w:jc w:val="both"/>
        <w:rPr>
          <w:rFonts w:ascii="Times New Roman" w:hAnsi="Times New Roman" w:cs="Times New Roman"/>
        </w:rPr>
      </w:pPr>
      <w:proofErr w:type="spellStart"/>
      <w:r w:rsidRPr="00C56ADA">
        <w:rPr>
          <w:rFonts w:ascii="Times New Roman" w:hAnsi="Times New Roman" w:cs="Times New Roman"/>
        </w:rPr>
        <w:t>Streamlit</w:t>
      </w:r>
      <w:proofErr w:type="spellEnd"/>
      <w:r w:rsidRPr="00C56ADA">
        <w:rPr>
          <w:rFonts w:ascii="Times New Roman" w:hAnsi="Times New Roman" w:cs="Times New Roman"/>
        </w:rPr>
        <w:t xml:space="preserve"> Dashboard analysis: </w:t>
      </w:r>
      <w:hyperlink r:id="rId22" w:history="1">
        <w:r w:rsidRPr="00C56ADA">
          <w:rPr>
            <w:rStyle w:val="Hyperlink"/>
            <w:rFonts w:ascii="Times New Roman" w:hAnsi="Times New Roman" w:cs="Times New Roman"/>
            <w:b/>
            <w:bCs/>
          </w:rPr>
          <w:t>https://resilisence.streamlit.app</w:t>
        </w:r>
      </w:hyperlink>
      <w:r w:rsidRPr="00C56ADA">
        <w:rPr>
          <w:rFonts w:ascii="Times New Roman" w:hAnsi="Times New Roman" w:cs="Times New Roman"/>
        </w:rPr>
        <w:t xml:space="preserve"> </w:t>
      </w:r>
    </w:p>
    <w:p w14:paraId="60CB0C48" w14:textId="6C673330" w:rsidR="00A94DA9" w:rsidRPr="00C56ADA" w:rsidRDefault="00F1482A" w:rsidP="00C56ADA">
      <w:pPr>
        <w:pStyle w:val="ListParagraph"/>
        <w:numPr>
          <w:ilvl w:val="0"/>
          <w:numId w:val="7"/>
        </w:numPr>
        <w:spacing w:line="360" w:lineRule="auto"/>
        <w:jc w:val="both"/>
        <w:rPr>
          <w:rFonts w:ascii="Times New Roman" w:hAnsi="Times New Roman" w:cs="Times New Roman"/>
        </w:rPr>
      </w:pPr>
      <w:proofErr w:type="spellStart"/>
      <w:r w:rsidRPr="00C56ADA">
        <w:rPr>
          <w:rFonts w:ascii="Times New Roman" w:hAnsi="Times New Roman" w:cs="Times New Roman"/>
        </w:rPr>
        <w:t>Jupyter</w:t>
      </w:r>
      <w:proofErr w:type="spellEnd"/>
      <w:r w:rsidR="00A94DA9" w:rsidRPr="00C56ADA">
        <w:rPr>
          <w:rFonts w:ascii="Times New Roman" w:hAnsi="Times New Roman" w:cs="Times New Roman"/>
        </w:rPr>
        <w:t xml:space="preserve"> notebook: data merging sorting, analysis, simulations</w:t>
      </w:r>
      <w:r w:rsidRPr="00C56ADA">
        <w:rPr>
          <w:rFonts w:ascii="Times New Roman" w:hAnsi="Times New Roman" w:cs="Times New Roman"/>
        </w:rPr>
        <w:t xml:space="preserve"> (</w:t>
      </w:r>
      <w:r w:rsidRPr="00C56ADA">
        <w:rPr>
          <w:rFonts w:ascii="Times New Roman" w:hAnsi="Times New Roman" w:cs="Times New Roman"/>
          <w:b/>
          <w:bCs/>
        </w:rPr>
        <w:t xml:space="preserve">Ghana Food Security and Nutritional </w:t>
      </w:r>
      <w:proofErr w:type="spellStart"/>
      <w:r w:rsidRPr="00C56ADA">
        <w:rPr>
          <w:rFonts w:ascii="Times New Roman" w:hAnsi="Times New Roman" w:cs="Times New Roman"/>
          <w:b/>
          <w:bCs/>
        </w:rPr>
        <w:t>Vulnerability.ipynb</w:t>
      </w:r>
      <w:proofErr w:type="spellEnd"/>
      <w:r w:rsidRPr="00C56ADA">
        <w:rPr>
          <w:rFonts w:ascii="Times New Roman" w:hAnsi="Times New Roman" w:cs="Times New Roman"/>
        </w:rPr>
        <w:t>)</w:t>
      </w:r>
    </w:p>
    <w:p w14:paraId="6229B5C9" w14:textId="210383C3" w:rsidR="00A94DA9" w:rsidRDefault="00A94DA9" w:rsidP="00C56ADA">
      <w:pPr>
        <w:pStyle w:val="ListParagraph"/>
        <w:numPr>
          <w:ilvl w:val="0"/>
          <w:numId w:val="7"/>
        </w:numPr>
        <w:spacing w:line="360" w:lineRule="auto"/>
        <w:jc w:val="both"/>
        <w:rPr>
          <w:rFonts w:ascii="Times New Roman" w:hAnsi="Times New Roman" w:cs="Times New Roman"/>
        </w:rPr>
      </w:pPr>
      <w:r w:rsidRPr="00C56ADA">
        <w:rPr>
          <w:rFonts w:ascii="Times New Roman" w:hAnsi="Times New Roman" w:cs="Times New Roman"/>
        </w:rPr>
        <w:t xml:space="preserve">An interactive Ghana </w:t>
      </w:r>
      <w:proofErr w:type="spellStart"/>
      <w:r w:rsidRPr="00C56ADA">
        <w:rPr>
          <w:rFonts w:ascii="Times New Roman" w:hAnsi="Times New Roman" w:cs="Times New Roman"/>
        </w:rPr>
        <w:t>Chloropet</w:t>
      </w:r>
      <w:r w:rsidR="00546B39" w:rsidRPr="00C56ADA">
        <w:rPr>
          <w:rFonts w:ascii="Times New Roman" w:hAnsi="Times New Roman" w:cs="Times New Roman"/>
        </w:rPr>
        <w:t>h</w:t>
      </w:r>
      <w:proofErr w:type="spellEnd"/>
      <w:r w:rsidRPr="00C56ADA">
        <w:rPr>
          <w:rFonts w:ascii="Times New Roman" w:hAnsi="Times New Roman" w:cs="Times New Roman"/>
        </w:rPr>
        <w:t xml:space="preserve"> showing region vulnerability indexes for each region on hoover</w:t>
      </w:r>
      <w:r w:rsidR="00F1482A" w:rsidRPr="00C56ADA">
        <w:rPr>
          <w:rFonts w:ascii="Times New Roman" w:hAnsi="Times New Roman" w:cs="Times New Roman"/>
        </w:rPr>
        <w:t xml:space="preserve"> (</w:t>
      </w:r>
      <w:r w:rsidR="00F1482A" w:rsidRPr="00C56ADA">
        <w:rPr>
          <w:rFonts w:ascii="Times New Roman" w:hAnsi="Times New Roman" w:cs="Times New Roman"/>
          <w:b/>
          <w:bCs/>
        </w:rPr>
        <w:t>ghana_choropleth.html</w:t>
      </w:r>
      <w:r w:rsidR="00F1482A" w:rsidRPr="00C56ADA">
        <w:rPr>
          <w:rFonts w:ascii="Times New Roman" w:hAnsi="Times New Roman" w:cs="Times New Roman"/>
        </w:rPr>
        <w:t>)</w:t>
      </w:r>
    </w:p>
    <w:p w14:paraId="1EE29F1E" w14:textId="0ECD599A" w:rsidR="005D4F30" w:rsidRPr="00C56ADA" w:rsidRDefault="005D4F30" w:rsidP="005D4F30">
      <w:pPr>
        <w:pStyle w:val="ListParagraph"/>
        <w:numPr>
          <w:ilvl w:val="0"/>
          <w:numId w:val="7"/>
        </w:numPr>
        <w:spacing w:line="360" w:lineRule="auto"/>
        <w:jc w:val="both"/>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 </w:t>
      </w:r>
      <w:hyperlink r:id="rId23" w:history="1">
        <w:r w:rsidRPr="00D72217">
          <w:rPr>
            <w:rStyle w:val="Hyperlink"/>
            <w:rFonts w:ascii="Times New Roman" w:hAnsi="Times New Roman" w:cs="Times New Roman"/>
          </w:rPr>
          <w:t>https://github.com/grande254/Resilience</w:t>
        </w:r>
      </w:hyperlink>
      <w:r>
        <w:rPr>
          <w:rFonts w:ascii="Times New Roman" w:hAnsi="Times New Roman" w:cs="Times New Roman"/>
        </w:rPr>
        <w:t xml:space="preserve"> </w:t>
      </w:r>
      <w:bookmarkStart w:id="0" w:name="_GoBack"/>
      <w:bookmarkEnd w:id="0"/>
    </w:p>
    <w:sectPr w:rsidR="005D4F30" w:rsidRPr="00C56ADA" w:rsidSect="002868E5">
      <w:head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214D0B" w14:textId="77777777" w:rsidR="0069249C" w:rsidRDefault="0069249C" w:rsidP="005012A4">
      <w:pPr>
        <w:spacing w:after="0" w:line="240" w:lineRule="auto"/>
      </w:pPr>
      <w:r>
        <w:separator/>
      </w:r>
    </w:p>
  </w:endnote>
  <w:endnote w:type="continuationSeparator" w:id="0">
    <w:p w14:paraId="46DCEE5F" w14:textId="77777777" w:rsidR="0069249C" w:rsidRDefault="0069249C" w:rsidP="00501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0D9147" w14:textId="77777777" w:rsidR="0069249C" w:rsidRDefault="0069249C" w:rsidP="005012A4">
      <w:pPr>
        <w:spacing w:after="0" w:line="240" w:lineRule="auto"/>
      </w:pPr>
      <w:r>
        <w:separator/>
      </w:r>
    </w:p>
  </w:footnote>
  <w:footnote w:type="continuationSeparator" w:id="0">
    <w:p w14:paraId="5DDB66F0" w14:textId="77777777" w:rsidR="0069249C" w:rsidRDefault="0069249C" w:rsidP="005012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268056"/>
      <w:docPartObj>
        <w:docPartGallery w:val="Page Numbers (Top of Page)"/>
        <w:docPartUnique/>
      </w:docPartObj>
    </w:sdtPr>
    <w:sdtEndPr>
      <w:rPr>
        <w:noProof/>
      </w:rPr>
    </w:sdtEndPr>
    <w:sdtContent>
      <w:p w14:paraId="0FCA915D" w14:textId="5CBA6325" w:rsidR="005012A4" w:rsidRDefault="005012A4">
        <w:pPr>
          <w:pStyle w:val="Header"/>
          <w:jc w:val="right"/>
        </w:pPr>
        <w:r>
          <w:fldChar w:fldCharType="begin"/>
        </w:r>
        <w:r>
          <w:instrText xml:space="preserve"> PAGE   \* MERGEFORMAT </w:instrText>
        </w:r>
        <w:r>
          <w:fldChar w:fldCharType="separate"/>
        </w:r>
        <w:r w:rsidR="005D4F30">
          <w:rPr>
            <w:noProof/>
          </w:rPr>
          <w:t>12</w:t>
        </w:r>
        <w:r>
          <w:rPr>
            <w:noProof/>
          </w:rPr>
          <w:fldChar w:fldCharType="end"/>
        </w:r>
      </w:p>
    </w:sdtContent>
  </w:sdt>
  <w:p w14:paraId="66DF4816" w14:textId="77777777" w:rsidR="005012A4" w:rsidRDefault="005012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96FA3"/>
    <w:multiLevelType w:val="hybridMultilevel"/>
    <w:tmpl w:val="32F2BB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A1461"/>
    <w:multiLevelType w:val="multilevel"/>
    <w:tmpl w:val="029E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A6BC8"/>
    <w:multiLevelType w:val="multilevel"/>
    <w:tmpl w:val="3558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4E4159"/>
    <w:multiLevelType w:val="multilevel"/>
    <w:tmpl w:val="5E74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2869D1"/>
    <w:multiLevelType w:val="multilevel"/>
    <w:tmpl w:val="64661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721420"/>
    <w:multiLevelType w:val="multilevel"/>
    <w:tmpl w:val="6BCE5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EF16BF"/>
    <w:multiLevelType w:val="multilevel"/>
    <w:tmpl w:val="C6C2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3"/>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4D6"/>
    <w:rsid w:val="002868E5"/>
    <w:rsid w:val="003B66AC"/>
    <w:rsid w:val="00476C35"/>
    <w:rsid w:val="004F337F"/>
    <w:rsid w:val="005012A4"/>
    <w:rsid w:val="0054083E"/>
    <w:rsid w:val="00546B39"/>
    <w:rsid w:val="005D4F30"/>
    <w:rsid w:val="0069249C"/>
    <w:rsid w:val="006B2480"/>
    <w:rsid w:val="008F691A"/>
    <w:rsid w:val="00913341"/>
    <w:rsid w:val="00A3378E"/>
    <w:rsid w:val="00A94DA9"/>
    <w:rsid w:val="00AC7D78"/>
    <w:rsid w:val="00AE0AB3"/>
    <w:rsid w:val="00C56ADA"/>
    <w:rsid w:val="00CD42E7"/>
    <w:rsid w:val="00D13A87"/>
    <w:rsid w:val="00E240BA"/>
    <w:rsid w:val="00EA24D6"/>
    <w:rsid w:val="00F1482A"/>
    <w:rsid w:val="00F41881"/>
    <w:rsid w:val="00F74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1B8E5"/>
  <w15:chartTrackingRefBased/>
  <w15:docId w15:val="{75502E02-874B-499E-B2F6-AD300FBDE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24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24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24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24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24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24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24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24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24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4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24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24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24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24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24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24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24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24D6"/>
    <w:rPr>
      <w:rFonts w:eastAsiaTheme="majorEastAsia" w:cstheme="majorBidi"/>
      <w:color w:val="272727" w:themeColor="text1" w:themeTint="D8"/>
    </w:rPr>
  </w:style>
  <w:style w:type="paragraph" w:styleId="Title">
    <w:name w:val="Title"/>
    <w:basedOn w:val="Normal"/>
    <w:next w:val="Normal"/>
    <w:link w:val="TitleChar"/>
    <w:uiPriority w:val="10"/>
    <w:qFormat/>
    <w:rsid w:val="00EA24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4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24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24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24D6"/>
    <w:pPr>
      <w:spacing w:before="160"/>
      <w:jc w:val="center"/>
    </w:pPr>
    <w:rPr>
      <w:i/>
      <w:iCs/>
      <w:color w:val="404040" w:themeColor="text1" w:themeTint="BF"/>
    </w:rPr>
  </w:style>
  <w:style w:type="character" w:customStyle="1" w:styleId="QuoteChar">
    <w:name w:val="Quote Char"/>
    <w:basedOn w:val="DefaultParagraphFont"/>
    <w:link w:val="Quote"/>
    <w:uiPriority w:val="29"/>
    <w:rsid w:val="00EA24D6"/>
    <w:rPr>
      <w:i/>
      <w:iCs/>
      <w:color w:val="404040" w:themeColor="text1" w:themeTint="BF"/>
    </w:rPr>
  </w:style>
  <w:style w:type="paragraph" w:styleId="ListParagraph">
    <w:name w:val="List Paragraph"/>
    <w:basedOn w:val="Normal"/>
    <w:uiPriority w:val="34"/>
    <w:qFormat/>
    <w:rsid w:val="00EA24D6"/>
    <w:pPr>
      <w:ind w:left="720"/>
      <w:contextualSpacing/>
    </w:pPr>
  </w:style>
  <w:style w:type="character" w:styleId="IntenseEmphasis">
    <w:name w:val="Intense Emphasis"/>
    <w:basedOn w:val="DefaultParagraphFont"/>
    <w:uiPriority w:val="21"/>
    <w:qFormat/>
    <w:rsid w:val="00EA24D6"/>
    <w:rPr>
      <w:i/>
      <w:iCs/>
      <w:color w:val="2F5496" w:themeColor="accent1" w:themeShade="BF"/>
    </w:rPr>
  </w:style>
  <w:style w:type="paragraph" w:styleId="IntenseQuote">
    <w:name w:val="Intense Quote"/>
    <w:basedOn w:val="Normal"/>
    <w:next w:val="Normal"/>
    <w:link w:val="IntenseQuoteChar"/>
    <w:uiPriority w:val="30"/>
    <w:qFormat/>
    <w:rsid w:val="00EA24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24D6"/>
    <w:rPr>
      <w:i/>
      <w:iCs/>
      <w:color w:val="2F5496" w:themeColor="accent1" w:themeShade="BF"/>
    </w:rPr>
  </w:style>
  <w:style w:type="character" w:styleId="IntenseReference">
    <w:name w:val="Intense Reference"/>
    <w:basedOn w:val="DefaultParagraphFont"/>
    <w:uiPriority w:val="32"/>
    <w:qFormat/>
    <w:rsid w:val="00EA24D6"/>
    <w:rPr>
      <w:b/>
      <w:bCs/>
      <w:smallCaps/>
      <w:color w:val="2F5496" w:themeColor="accent1" w:themeShade="BF"/>
      <w:spacing w:val="5"/>
    </w:rPr>
  </w:style>
  <w:style w:type="paragraph" w:styleId="Caption">
    <w:name w:val="caption"/>
    <w:basedOn w:val="Normal"/>
    <w:next w:val="Normal"/>
    <w:uiPriority w:val="35"/>
    <w:semiHidden/>
    <w:unhideWhenUsed/>
    <w:qFormat/>
    <w:rsid w:val="00CD42E7"/>
    <w:pPr>
      <w:spacing w:after="200" w:line="240" w:lineRule="auto"/>
    </w:pPr>
    <w:rPr>
      <w:i/>
      <w:iCs/>
      <w:color w:val="44546A" w:themeColor="text2"/>
      <w:sz w:val="18"/>
      <w:szCs w:val="18"/>
    </w:rPr>
  </w:style>
  <w:style w:type="character" w:styleId="Hyperlink">
    <w:name w:val="Hyperlink"/>
    <w:basedOn w:val="DefaultParagraphFont"/>
    <w:uiPriority w:val="99"/>
    <w:unhideWhenUsed/>
    <w:rsid w:val="00A94DA9"/>
    <w:rPr>
      <w:color w:val="0563C1" w:themeColor="hyperlink"/>
      <w:u w:val="single"/>
    </w:rPr>
  </w:style>
  <w:style w:type="character" w:customStyle="1" w:styleId="UnresolvedMention">
    <w:name w:val="Unresolved Mention"/>
    <w:basedOn w:val="DefaultParagraphFont"/>
    <w:uiPriority w:val="99"/>
    <w:semiHidden/>
    <w:unhideWhenUsed/>
    <w:rsid w:val="00A94DA9"/>
    <w:rPr>
      <w:color w:val="605E5C"/>
      <w:shd w:val="clear" w:color="auto" w:fill="E1DFDD"/>
    </w:rPr>
  </w:style>
  <w:style w:type="paragraph" w:styleId="Header">
    <w:name w:val="header"/>
    <w:basedOn w:val="Normal"/>
    <w:link w:val="HeaderChar"/>
    <w:uiPriority w:val="99"/>
    <w:unhideWhenUsed/>
    <w:rsid w:val="00501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2A4"/>
  </w:style>
  <w:style w:type="paragraph" w:styleId="Footer">
    <w:name w:val="footer"/>
    <w:basedOn w:val="Normal"/>
    <w:link w:val="FooterChar"/>
    <w:uiPriority w:val="99"/>
    <w:unhideWhenUsed/>
    <w:rsid w:val="00501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samwel.me.ke@gmail.co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resilisence.streamlit.app"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grande254/Resilience"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otieno443@gmail.com" TargetMode="External"/><Relationship Id="rId14" Type="http://schemas.openxmlformats.org/officeDocument/2006/relationships/image" Target="media/image5.png"/><Relationship Id="rId22" Type="http://schemas.openxmlformats.org/officeDocument/2006/relationships/hyperlink" Target="https://resilisence.streamlit.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3D49A-2596-4005-9F3C-EF416082E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12</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11</cp:revision>
  <dcterms:created xsi:type="dcterms:W3CDTF">2025-08-21T15:49:00Z</dcterms:created>
  <dcterms:modified xsi:type="dcterms:W3CDTF">2025-08-21T20:37:00Z</dcterms:modified>
</cp:coreProperties>
</file>