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80"/>
      </w:pPr>
      <w:r>
        <w:rPr>
          <w:rFonts w:ascii="Signika" w:cs="Signika" w:eastAsia="Signika" w:hAnsi="Signika"/>
          <w:b/>
          <w:bCs/>
          <w:color w:val="0D2537"/>
          <w:sz w:val="52"/>
          <w:szCs w:val="52"/>
        </w:rPr>
        <w:t xml:space="preserve">PIANO AI ZERO-EGRESS</w:t>
      </w:r>
    </w:p>
    <w:p>
      <w:pPr>
        <w:spacing w:before="0" w:after="60"/>
      </w:pPr>
      <w:r>
        <w:rPr>
          <w:rFonts w:ascii="Signika" w:cs="Signika" w:eastAsia="Signika" w:hAnsi="Signika"/>
          <w:color w:val="2F5496"/>
          <w:sz w:val="28"/>
          <w:szCs w:val="28"/>
        </w:rPr>
        <w:t xml:space="preserve">Infrastruttura AI Locale — Privata e Conforme ISO 27001</w:t>
      </w:r>
    </w:p>
    <w:p>
      <w:pPr>
        <w:spacing w:before="0" w:after="300"/>
      </w:pPr>
      <w:r>
        <w:rPr>
          <w:rFonts w:ascii="Signika" w:cs="Signika" w:eastAsia="Signika" w:hAnsi="Signika"/>
          <w:color w:val="888888"/>
          <w:sz w:val="20"/>
          <w:szCs w:val="20"/>
        </w:rPr>
        <w:t xml:space="preserve">Versione 1.0  |  Marzo 2025  |  Uso interno riservato</w:t>
      </w:r>
    </w:p>
    <w:p>
      <w:pPr>
        <w:pBdr>
          <w:bottom w:val="single" w:color="00A7E7" w:sz="8" w:space="1"/>
        </w:pBdr>
        <w:spacing w:before="0" w:after="24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2F5496"/>
                <w:sz w:val="20"/>
                <w:szCs w:val="20"/>
              </w:rPr>
              <w:t xml:space="preserve">Executive Summary: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Questo documento descrive il piano operativo per il deployment di un sistema AI locale (Zero-Egress) a complemento di Claude Team già in uso. L'obiettivo è dotare il team di uno strumento AI privato dove i dati non escono mai dalla rete aziendale, con piena conformità ISO 27001. Il piano contempla due scenari hardware: soluzione compatta (~2.500€) e soluzione premium con GPU NVIDIA dedicata (~5.500-6.000€).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6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Contesto operativo: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 realtà IT di ~20 persone, max 6-7 presenti in ufficio simultaneamente, Claude Team già attivo per uso quotidiano. Il sistema Zero-Egress è uno strumento aggiuntivo dedicato a dati classificati, documentazione clienti e procedure interne.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1. Obiettivi e Requisiti</w:t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1.1 Obiettivo principale</w:t>
      </w:r>
    </w:p>
    <w:p>
      <w:pPr>
        <w:spacing w:before="60" w:after="6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Creare un ambiente AI completamente isolato dalla rete pubblica, in cui modelli LLM locali possano elaborare e rispondere a domande su documentazione aziendale riservata — senza che alcun dato transiti verso servizi cloud esterni.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1.2 Requisiti chiave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Zero-Egress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nessun dato esce dalla rete, nemmeno per chiamate API a modelli esterni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Privacy by design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compliant con requisiti ISO 27001 per asset informativi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Prestazioni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risposta &lt; 2 secondi per richieste singole, max 6-7 utenti concorrenti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Complementarietà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non sostituisce Claude Team, lo affianca per dati sensibili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Scalabilità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architettura espandibile a modelli più grandi in futuro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Manutenzione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gestibile internamente dal team Domarc senza dipendenze esterne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BA7517"/>
                <w:sz w:val="20"/>
                <w:szCs w:val="20"/>
              </w:rPr>
              <w:t xml:space="preserve">Perché non solo Claude Team?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Claude Team è ottimo per lavoro quotidiano, ma i dati trasmessi transitano sui server Anthropic. Per clienti con requisiti di riservatezza elevata (documentazione tecnica, contratti, dati sensibili), è necessario un sistema dove il dato non esce mai dall'infrastruttura aziendale.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2. Scenari Hardware</w:t>
      </w:r>
    </w:p>
    <w:p>
      <w:pPr>
        <w:spacing w:before="60" w:after="6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Vengono proposti due scenari hardware calibrati sulla dimensione effettiva del team (max 6-7 utenti simultanei) e sul budget disponibile.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Scenario A — Compatto (Budget ~2.500€)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33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Specifica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Unità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Minisforum MS-S1 Max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Mini workstation AI-native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CPU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AMD Ryzen AI Max+ 395 (16C/32T, Zen5)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126 TOPS NPU integrato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RAM / VRAM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128 GB LPDDR5X-8000 unificata (iGPU fino a 96GB)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Limite eliminato per modelli fino a 70B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GPU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AMD Radeon 8060S integrata (RDNA 3.5)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No CUDA — ROCm/Vulkan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2 TB NVMe PCIe Gen4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Incluso nel bundle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Dual 10GbE + WiFi 7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Integrata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Desktop / 2U rack-mountable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Cluster opzionale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Alimentazione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320W PSU integrato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Silenzioso post-BIOS v1.03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Prezzo indicativo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~2.500 €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140" w:after="60"/>
      </w:pPr>
      <w:r>
        <w:rPr>
          <w:rFonts w:ascii="Signika" w:cs="Signika" w:eastAsia="Signika" w:hAnsi="Signika"/>
          <w:color w:val="1F3763"/>
          <w:sz w:val="24"/>
          <w:szCs w:val="24"/>
        </w:rPr>
        <w:t xml:space="preserve">Modello consigliato per Scenario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Llama 3.3 / Qwen2.5 32B Q4_K_M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~20-25 token/s, qualità elevata su RAG aziendale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Llama 3.1 8B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fallback ultra-rapido per query semplici (~80+ token/s)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70B opzionale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supportato nativamente ma più lento (~8-10 t/s) — consigliato solo se necessario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1F3763"/>
                <w:sz w:val="20"/>
                <w:szCs w:val="20"/>
              </w:rPr>
              <w:t xml:space="preserve">Nota tecnica: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Il MS-S1 Max ha uno slot PCIe x16 espansione, ma con 320W PSU e ~160W già occupati dal SoC, il budget di potenza residuo per una GPU dedicata è limitato. Non supporta RTX 4090 (TDP 400W). Per GPU NVIDIA si raccomanda lo Scenario B.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Scenario B — Premium con GPU NVIDIA (Budget ~5.500-6.000€)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33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Specifica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Server / Workstation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Mini workstation PCIe o tower compatto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AMD EPYC / Ryzen Threadripper o Intel Xeon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RAM sistema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64-128 GB DDR5 ECC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ECC raccomandato per continuità operativa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GPU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NVIDIA RTX 4090 24GB GDDR6X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CUDA full, ~127 t/s su Llama 8B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Alternativa GPU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NVIDIA RTX 5090 32GB GDDR7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Architettura Blackwell, +60% VRAM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VRAM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24 GB (4090) / 32 GB (5090)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Modelli fino a 32B Q4 interamente in GPU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2 TB NVMe PCIe Gen4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Modelli + vector DB + documenti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10GbE (scheda aggiuntiva se necessario)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Integrazione con infrastruttura esistente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PSU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1000W+ per 4090 / 1200W per 5090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Adeguamento alimentazione necessario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Budget stimato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~5.000-6.000 € (4090) / ~6.000+ € (5090)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GPU voce di costo principale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140" w:after="60"/>
      </w:pPr>
      <w:r>
        <w:rPr>
          <w:rFonts w:ascii="Signika" w:cs="Signika" w:eastAsia="Signika" w:hAnsi="Signika"/>
          <w:color w:val="1F3763"/>
          <w:sz w:val="24"/>
          <w:szCs w:val="24"/>
        </w:rPr>
        <w:t xml:space="preserve">Modello consigliato per Scenario 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Llama 3.1 70B Q4_K_M (con 4090)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con CPU offload parziale, ~10-15 t/s — latenza accettabile per 6-7 utenti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Llama 3.1 / Qwen2.5 32B Q4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interamente in VRAM su 4090 — ~35-40 t/s, risposta molto rapida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Con RTX 5090 (32GB)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il 70B Q4 entra tutto in VRAM senza offload — ~25-30 t/s stabili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Vantaggio CUDA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piena compatibilità vLLM + TensorRT-LLM per massimo throughput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2.3 Confronto scenari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20"/>
        <w:gridCol w:w="3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Scenario A — MS-S1 Max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Scenario B — NVIDIA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Budget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~2.500 €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~5.500-6.000 €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Modello ottimale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32B Q4 (senza offload)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70B Q4 (4090) / 70B FP8 (5090)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Velocità 32B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~20-25 t/s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~35-40 t/s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Velocità 70B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~8-10 t/s (lento)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~10-15 t/s (4090) / ~25 t/s (5090)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CUDA / vLLM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No (ROCm)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Sì (piena compatibilità)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Rumorosità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Bassa (BIOS aggiornato)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Media-Alta (GPU cooling)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Consumi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~130W tipici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400-600W sotto carico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Scalabilità futura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Limitata (PCIe budget)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Alta (GPU sostituibile)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ISO 27001 fit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Buono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Ottimo (ECC opzionale)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Consigliato per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Avvio rapido, RAG 32B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Performance massima, 70B produzione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3B6D11"/>
                <w:sz w:val="20"/>
                <w:szCs w:val="20"/>
              </w:rPr>
              <w:t xml:space="preserve">Raccomandazione Domarc: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Per il profilo operativo descritto (6-7 utenti, RAG su documentazione aziendale, budget ~6.000€) lo Scenario B con RTX 4090 offre il miglior equilibrio performance/costo. Il 32B gira interamente in VRAM con risposta &lt;1s; il 70B è disponibile per analisi più complesse. Lo Scenario A rimane valido come soluzione rapida o nodo aggiuntivo.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3. Stack Software</w:t>
      </w:r>
    </w:p>
    <w:p>
      <w:pPr>
        <w:spacing w:before="60" w:after="6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Tutto il software è open source, self-hosted e deployato via Docker. Nessuna dipendenza da servizi cloud.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000"/>
        <w:gridCol w:w="31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Gestione modelli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Caricamento e serving LLM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Scenario A e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Inferenza avanzata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vLLM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Serving multi-utente ottimizzato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Scenario B — CUDA obbligatorio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Interfaccia utente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Open WebUI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Chat multi-utente, RAG, SSO/AD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Raccomandato per semplicità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Alternativa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Danswer / Onyx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RAG enterprise + connettori SharePoint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Se già in uso SharePoint strutturato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Qdrant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Ricerca semantica documenti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Leggero, on-premise 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Vettorializzazione documenti locale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Nessun dato esce via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Orchestrazione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Isolamento servizi + backup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Standard Domarc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Monitoraggio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GPU, token/s, latenza, code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Integrazione Zabbix opzionale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LDAP / Active Directory 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Single Sign-On aziendale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Nessun account locale separato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Wazuh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Alert anomalie, accessi fuori orario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Già presente in infrastruttura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C00000"/>
                <w:sz w:val="20"/>
                <w:szCs w:val="20"/>
              </w:rPr>
              <w:t xml:space="preserve">Punto critico — Embedding locale: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L'embedding model deve girare on-premise. Se la piattaforma RAG è configurata per usare API OpenAI/Cohere per gli embedding, i testi dei documenti vengono inviati a server esterni — violando il requisito Zero-Egress. Verificare sempre questa impostazione prima del go-live.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4. Piano Implementativo</w:t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Fase 1 — Setup Infrastruttura (Settimana 1-2)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Installazione Ubuntu Server 24.04 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Configurazione driver NVIDIA (Scenario B) o ROCm (Scenario 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Deploy Docker + Docker Compose con network isolata (no egress internet)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Configurazione firewall: blocco totale connessioni uscenti dal server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Deploy Ollama + modello 32B iniziale per test funzionale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Deploy vLLM (solo Scenario B) con benchmark latenza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Fase 2 — RAG e Ingestione Documenti (Settimana 2-3)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Deploy Open WebUI + Qdrant via Docker 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Configurazione embedding locale (nomic-embed-text via Ollama)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Verifica: nessuna chiamata API esterna nei log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Ingestione documenti pilota: procedure ISO, configurazioni clienti selezionate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Configurazione connettore File System e/o SharePoint (se applicabile)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Pulizia knowledge base: identificare documenti master, escludere bozze obsolete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Fase 3 — Profili Utente e Test (Settimana 3-4)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Creazione workspace separati per profilo:</w:t>
      </w:r>
    </w:p>
    <w:p>
      <w:pPr>
        <w:pStyle w:val="ListParagraph"/>
        <w:numPr>
          <w:ilvl w:val="0"/>
          <w:numId w:val="2"/>
        </w:numPr>
        <w:spacing w:before="30" w:after="30"/>
        <w:ind w:left="1120" w:hanging="28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Assistente Tecnico — documenti config e procedure operative</w:t>
      </w:r>
    </w:p>
    <w:p>
      <w:pPr>
        <w:pStyle w:val="ListParagraph"/>
        <w:numPr>
          <w:ilvl w:val="0"/>
          <w:numId w:val="2"/>
        </w:numPr>
        <w:spacing w:before="30" w:after="30"/>
        <w:ind w:left="1120" w:hanging="28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Compliance Officer — procedure ISO 27001, policy HR, audit</w:t>
      </w:r>
    </w:p>
    <w:p>
      <w:pPr>
        <w:pStyle w:val="ListParagraph"/>
        <w:numPr>
          <w:ilvl w:val="0"/>
          <w:numId w:val="2"/>
        </w:numPr>
        <w:spacing w:before="30" w:after="30"/>
        <w:ind w:left="1120" w:hanging="28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Assistente Commerciale — offerte, contratti, listini (opzionale)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Test accuratezza: 30 domande con risposta nota — target &gt;85% di risposte corrette con citazione sorgente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Test latenza sotto carico: misurare p50/p95 con 5-7 richieste concorrenti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Raccolta feedback dai tecnici — documentare risposte errate per correzione documenti sorgente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Fase 4 — Governance e ISO 27001 (Settimana 4+)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Integrazione LDAP/AD: SSO aziendale, nessun account locale separato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Abilitazione audit log: chi ha interrogato il sistema, quando, su quale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Backup automatico Synology: volumi Docker (config + vector DB, non i modelli LLM)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Configurazione Wazuh: alert su accessi anomali o query fuori orario lavorativo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Redazione procedura interna utilizzo AI: classificazione dati ammessi, casi d'uso approvati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Aggiornamento Risk Register ISO 27001: inserire il sistema AI come asset informativo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 w:val="false"/>
          <w:bCs w:val="false"/>
          <w:color w:val="0D2537"/>
          <w:sz w:val="22"/>
          <w:szCs w:val="22"/>
        </w:rPr>
        <w:t xml:space="preserve">Prima revisione trimestrale modelli: valutare aggiornamento a versioni più recenti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5. Budget di Dettaglio</w:t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Scenario A — Compatto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  <w:gridCol w:w="194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Fornitore / Modello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Costo stimato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Mini workstation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Minisforum MS-S1 Max 128GB + 2TB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~2.500 €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Storage aggiuntivo (opz.)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NVMe M.2 2TB espansione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~100-150 €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UPS protezione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APC/Eaton 600VA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~150-200 €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Software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Tutto Open Source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Setup e configurazione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Domarc (interno)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0D2537"/>
                <w:sz w:val="20"/>
                <w:szCs w:val="20"/>
              </w:rPr>
              <w:t xml:space="preserve">TOTALE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0D2537"/>
                <w:sz w:val="20"/>
                <w:szCs w:val="20"/>
              </w:rPr>
              <w:t xml:space="preserve">~2.750-2.850 €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Scenario B — Premium GPU NVIDIA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  <w:gridCol w:w="194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Fornitore / Modello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Costo stimato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Workstation 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Tower/mini server AMD Ryzen 9 / Threadripper + 64GB ECC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~1.500-2.000 €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GPU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NVIDIA RTX 4090 24GB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~2.000-2.200 €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Alternativa GPU+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NVIDIA RTX 5090 32GB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~2.800-3.200 €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PSU adeguato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Corsair/Seasonic 1000W 80+ Gold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~150-200 €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Storage NVMe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2 TB PCIe Gen4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~100-150 €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UPS protezione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APC/Eaton 1000VA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~200-250 €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Software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Tutto Open Source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Setup e configurazione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Domarc (interno)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0D2537"/>
                <w:sz w:val="20"/>
                <w:szCs w:val="20"/>
              </w:rPr>
              <w:t xml:space="preserve">TOTALE con RTX 4090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0D2537"/>
                <w:sz w:val="20"/>
                <w:szCs w:val="20"/>
              </w:rPr>
              <w:t xml:space="preserve">~4.000-4.800 €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0D2537"/>
                <w:sz w:val="20"/>
                <w:szCs w:val="20"/>
              </w:rPr>
              <w:t xml:space="preserve">TOTALE con RTX 5090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0D2537"/>
                <w:sz w:val="20"/>
                <w:szCs w:val="20"/>
              </w:rPr>
              <w:t xml:space="preserve">~5.200-6.000 €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3B6D11"/>
                <w:sz w:val="20"/>
                <w:szCs w:val="20"/>
              </w:rPr>
              <w:t xml:space="preserve">Confronto TCO (3 anni):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Entrambi gli scenari hanno costo operativo quasi nullo (no licenze, no API, no cloud). Rispetto all'acquisto di piani cloud AI enterprise (es. €200-500/mese per 20 utenti), il sistema on-premise si ammortizza in 6-12 mesi.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6. Conformità ISO 27001</w:t>
      </w:r>
    </w:p>
    <w:p>
      <w:pPr>
        <w:spacing w:before="60" w:after="60"/>
      </w:pPr>
      <w:r>
        <w:rPr>
          <w:rFonts w:ascii="Signika" w:cs="Signika" w:eastAsia="Signika" w:hAnsi="Signika"/>
          <w:color w:val="0D2537"/>
          <w:sz w:val="22"/>
          <w:szCs w:val="22"/>
        </w:rPr>
        <w:t xml:space="preserve">Il sistema AI locale deve essere integrato nel Sistema di Gestione della Sicurezza delle Informazioni (SGSI) come qualsiasi altro asset IT aziendale.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6.1 Classificazione 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Asset informativo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il sistema AI (hardware + software + modelli) è un asset IT critico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Dati ingestiti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ereditano la classificazione del documento sorgente (es. Riservato, Confidenziale)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Log query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dati personali degli utenti — applicare retention policy coerente con GDPR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6.2 Controlli di sicurezza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A.8.1 Inventario asset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inserire nel registro asset con owner, classificazione 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A.9.4 Controllo accessi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SSO/AD obbligatorio, nessun accesso anonimo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A.12.4 Log e monitoraggio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audit log di tutte le interazioni con il sistema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A.14.2 Sviluppo sicuro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procedure di aggiornamento modelli con test prima del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A.17.1 Continuità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backup automatico + piano di ripristino documentato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6.3 Risk Register — voci suggerite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4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Ingestione documento errato / classificazione sbagliata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Media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Processo approvazione contenuti, ACL per workspace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Risposta AI non accurata usata come dato certo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Formazione utenti, disclaimer automatico nelle risposte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Accesso non autorizzato al server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Bassa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Firewall, SSO, Wazuh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Modello LLM con vulnerabilità (prompt injection)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Bassa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Aggiornamento modelli trimestrale, input sanitization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Guasto hardware — perdita servizio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Bassa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UPS, backup config, procedura ripristino &lt;4h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7. Roadmap e Prossimi Passi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6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Attività principale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5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0 — Decisione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Approvazione scenario hardware (A o B), ordine materiale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 — Hardware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Ricezione, installazione OS, driver, 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1-2 settimane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IT Domarc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2 — Software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Deploy Ollama/vLLM + Open WebUI + Qdrant, test funzionale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IT Domarc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3 — RAG e dati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Ingestione documenti pilota, verifica Zero-Egress, test accuratezza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1-2 settimane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IT Domarc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4 — Profili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Creazione workspace, permessi AD, test con utenti chiave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IT + Utenti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5 — Governance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Audit log, Wazuh, procedura ISO, documentazione SGSI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IT +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6 — Go-live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Apertura a tutti gli utenti, feedback loop, prima revisione modelli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Ongoing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gnika" w:cs="Signika" w:eastAsia="Signika" w:hAnsi="Signika"/>
                <w:b w:val="function bold() { [native code] }"/>
                <w:bCs w:val="function bold() { [native code] }"/>
                <w:color w:val="0D2537"/>
                <w:sz w:val="20"/>
                <w:szCs w:val="20"/>
              </w:rPr>
              <w:t xml:space="preserve">Team IT Domarc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ignika" w:cs="Signika" w:eastAsia="Signika" w:hAnsi="Signika"/>
                <w:b/>
                <w:bCs/>
                <w:color w:val="3B6D11"/>
                <w:sz w:val="20"/>
                <w:szCs w:val="20"/>
              </w:rPr>
              <w:t xml:space="preserve">Stima tempi totali: </w:t>
            </w:r>
            <w:r>
              <w:rPr>
                <w:rFonts w:ascii="Signika" w:cs="Signika" w:eastAsia="Signika" w:hAnsi="Signika"/>
                <w:color w:val="0D2537"/>
                <w:sz w:val="20"/>
                <w:szCs w:val="20"/>
              </w:rPr>
              <w:t xml:space="preserve">Dalla decisione al go-live: 5-7 settimane lavorative. Il sistema può essere operativo in versione base (Fase 1-2) già nella prima settimana — con le prime demo funzionanti in pochi giorni dall'arrivo dell'hardware.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40" w:after="120"/>
      </w:pPr>
      <w:r>
        <w:rPr>
          <w:rFonts w:ascii="Signika" w:cs="Signika" w:eastAsia="Signika" w:hAnsi="Signika"/>
          <w:color w:val="1F4788"/>
          <w:sz w:val="32"/>
          <w:szCs w:val="32"/>
        </w:rPr>
        <w:t xml:space="preserve">8. Appendice — Architettura Docker</w:t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Stack Docker Compose (schema semplificato)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00A7E7" w:sz="8"/>
          <w:right w:val="single" w:color="CCCCCC" w:sz="1"/>
        </w:pBdr>
        <w:shd w:fill="1E1E1E" w:val="clear"/>
        <w:spacing w:before="60" w:after="60"/>
      </w:pPr>
      <w:r>
        <w:rPr>
          <w:rFonts w:ascii="Courier New" w:cs="Courier New" w:eastAsia="Courier New" w:hAnsi="Courier New"/>
          <w:color w:val="00A7E7"/>
          <w:sz w:val="18"/>
          <w:szCs w:val="18"/>
        </w:rPr>
        <w:t xml:space="preserve">services: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ollama:          # LLM serving — GPU/ROCm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open-webui:      # Interfaccia chat + RAG pipeline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qdrant:          # Vector database locale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prometheus:      # Metriche GPU e sistema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grafana:         # Dashboard monitoraggio</w:t>
      </w:r>
      <w:r>
        <w:br/>
      </w: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00A7E7"/>
          <w:sz w:val="18"/>
          <w:szCs w:val="18"/>
        </w:rPr>
        <w:t xml:space="preserve">networks:</w:t>
      </w:r>
      <w:r>
        <w:br/>
      </w: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ai-internal:     # Rete isolata — NO bridge verso internet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20" w:after="80"/>
      </w:pPr>
      <w:r>
        <w:rPr>
          <w:rFonts w:ascii="Signika" w:cs="Signika" w:eastAsia="Signika" w:hAnsi="Signika"/>
          <w:color w:val="2F5496"/>
          <w:sz w:val="26"/>
          <w:szCs w:val="26"/>
        </w:rPr>
        <w:t xml:space="preserve">Modelli consigliati (Ollama pull)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llama3.1:8b-instruct-q4_K_M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query rapide, classificazione, sintesi brevi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qwen2.5:32b-instruct-q4_K_M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analisi documenti, ragionamento tecnico, raccomandato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llama3.1:70b-instruct-q4_K_M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solo Scenario B, analisi complesse, ragionamento avanzato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ignika" w:cs="Signika" w:eastAsia="Signika" w:hAnsi="Signika"/>
          <w:b/>
          <w:bCs/>
          <w:color w:val="0D2537"/>
          <w:sz w:val="22"/>
          <w:szCs w:val="22"/>
        </w:rPr>
        <w:t xml:space="preserve">nomic-embed-text</w:t>
      </w:r>
      <w:r>
        <w:rPr>
          <w:rFonts w:ascii="Signika" w:cs="Signika" w:eastAsia="Signika" w:hAnsi="Signika"/>
          <w:color w:val="0D2537"/>
          <w:sz w:val="22"/>
          <w:szCs w:val="22"/>
        </w:rPr>
        <w:t xml:space="preserve">: embedding locale obbligatorio per RAG Zero-Egress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Bdr>
          <w:top w:val="single" w:color="00A7E7" w:sz="4" w:space="4"/>
        </w:pBdr>
        <w:spacing w:before="200" w:after="60"/>
      </w:pPr>
      <w:r>
        <w:rPr>
          <w:rFonts w:ascii="Signika" w:cs="Signika" w:eastAsia="Signika" w:hAnsi="Signika"/>
          <w:color w:val="888888"/>
          <w:sz w:val="18"/>
          <w:szCs w:val="18"/>
        </w:rPr>
        <w:t xml:space="preserve">Documento preparato da Domarc Srl — Uso interno riservato</w:t>
      </w:r>
    </w:p>
    <w:p>
      <w:pPr>
        <w:spacing w:before="0" w:after="60"/>
      </w:pPr>
      <w:r>
        <w:rPr>
          <w:rFonts w:ascii="Signika" w:cs="Signika" w:eastAsia="Signika" w:hAnsi="Signika"/>
          <w:color w:val="888888"/>
          <w:sz w:val="18"/>
          <w:szCs w:val="18"/>
        </w:rPr>
        <w:t xml:space="preserve">Via Giovanni Dalton 48 — 41122 Modena  |  info@domarc.it  |  domarc.it</w:t>
      </w:r>
    </w:p>
    <w:sectPr>
      <w:headerReference w:type="default" r:id="rId6"/>
      <w:footerReference w:type="default" r:id="rId7"/>
      <w:pgSz w:w="11900" w:h="16840" w:orient="portrait"/>
      <w:pgMar w:top="720" w:right="720" w:bottom="2424" w:left="720" w:header="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-720"/>
    </w:pPr>
    <w:r>
      <w:drawing>
        <wp:anchor distT="0" distB="0" distL="0" distR="0" simplePos="0" relativeHeight="251658240" behindDoc="1" locked="1" layoutInCell="1" allowOverlap="0">
          <wp:simplePos x="0" y="0"/>
          <wp:positionH relativeFrom="page">
            <wp:posOffset>0</wp:posOffset>
          </wp:positionH>
          <wp:positionV relativeFrom="page">
            <wp:posOffset>9608820</wp:posOffset>
          </wp:positionV>
          <wp:extent cx="7556500" cy="1079500"/>
          <wp:effectExtent t="0" r="0" b="0" l="0"/>
          <wp:wrapNone/>
          <wp:docPr id="2" name="footer_brand" descr="Footer Domarc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_brand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left" w:pos="1134"/>
        <w:tab w:val="left" w:pos="3828"/>
        <w:tab w:val="left" w:pos="7088"/>
        <w:tab w:val="left" w:pos="9356"/>
      </w:tabs>
      <w:spacing w:line="276"/>
      <w:ind w:left="-720"/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Via Giovanni Dalton 48, Modena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info@domarc.it</w:t>
    </w:r>
  </w:p>
  <w:p>
    <w:pPr>
      <w:tabs>
        <w:tab w:val="left" w:pos="1134"/>
        <w:tab w:val="left" w:pos="3828"/>
        <w:tab w:val="left" w:pos="7088"/>
        <w:tab w:val="left" w:pos="9356"/>
      </w:tabs>
      <w:spacing w:line="276"/>
      <w:ind w:left="-720"/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c/o Direzionale Dalton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Cod. Fisc. P.IVA 02747710362</w:t>
    </w:r>
  </w:p>
  <w:p>
    <w:pPr>
      <w:tabs>
        <w:tab w:val="left" w:pos="1134"/>
        <w:tab w:val="left" w:pos="3828"/>
        <w:tab w:val="left" w:pos="7088"/>
        <w:tab w:val="left" w:pos="9356"/>
      </w:tabs>
      <w:spacing w:line="276"/>
      <w:ind w:left="-720"/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+39 059 822906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R.E.A. n. 327394 – Cap. Sociale Euro 110.000 i.v.</w:t>
    </w: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0B1B27"/>
        <w:sz w:val="22"/>
        <w:szCs w:val="22"/>
      </w:rPr>
      <w:t xml:space="preserve">domarc.it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left="-720" w:firstLine="11"/>
    </w:pPr>
    <w:r>
      <w:drawing>
        <wp:inline distT="0" distB="0" distL="0" distR="0">
          <wp:extent cx="7553325" cy="1076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76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&gt;"/>
      <w:lvlJc w:val="left"/>
      <w:pPr>
        <w:ind w:left="560" w:hanging="280"/>
      </w:pPr>
      <w:rPr>
        <w:rFonts w:ascii="Signika" w:cs="Signika" w:eastAsia="Signika" w:hAnsi="Signika"/>
        <w:b/>
        <w:bCs/>
        <w:color w:val="00A7E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gnika" w:cs="Signika" w:eastAsia="Signika" w:hAnsi="Signika"/>
        <w:color w:val="0D25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Signika" w:cs="Signika" w:eastAsia="Signika" w:hAnsi="Signika"/>
      <w:b w:val="false"/>
      <w:bCs w:val="false"/>
      <w:color w:val="1F4788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Signika" w:cs="Signika" w:eastAsia="Signika" w:hAnsi="Signika"/>
      <w:b w:val="false"/>
      <w:bCs w:val="false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before="120" w:after="60"/>
      <w:outlineLvl w:val="2"/>
    </w:pPr>
    <w:rPr>
      <w:rFonts w:ascii="Signika" w:cs="Signika" w:eastAsia="Signika" w:hAnsi="Signika"/>
      <w:b w:val="false"/>
      <w:bCs w:val="false"/>
      <w:color w:val="1F37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975c412e9e0e3cab71c5478443d46e480f3b63f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766209a6e329adeaa4eaa9406567698d1c0dd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2026-03-21T11:26:08.335Z</dcterms:created>
  <dcterms:modified xsi:type="dcterms:W3CDTF">2026-03-21T11:26:08.336Z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