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eTable 8. Sensitivity of the regional analysis to sample composition.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Participant excluded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(spin)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Psilocybin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-0.56</w:t>
            </w:r>
          </w:p>
        </w:tc>
        <w:tc>
          <w:tcPr>
            <w:tcW w:type="dxa" w:w="1728"/>
          </w:tcPr>
          <w:p>
            <w:r>
              <w:t>&lt;.001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-0.51</w:t>
            </w:r>
          </w:p>
        </w:tc>
        <w:tc>
          <w:tcPr>
            <w:tcW w:type="dxa" w:w="1728"/>
          </w:tcPr>
          <w:p>
            <w:r>
              <w:t>&lt;.001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-0.48</w:t>
            </w:r>
          </w:p>
        </w:tc>
        <w:tc>
          <w:tcPr>
            <w:tcW w:type="dxa" w:w="1728"/>
          </w:tcPr>
          <w:p>
            <w:r>
              <w:t>&lt;.001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-0.46</w:t>
            </w:r>
          </w:p>
        </w:tc>
        <w:tc>
          <w:tcPr>
            <w:tcW w:type="dxa" w:w="1728"/>
          </w:tcPr>
          <w:p>
            <w:r>
              <w:t>.002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-0.43</w:t>
            </w:r>
          </w:p>
        </w:tc>
        <w:tc>
          <w:tcPr>
            <w:tcW w:type="dxa" w:w="1728"/>
          </w:tcPr>
          <w:p>
            <w:r>
              <w:t>.003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-0.40</w:t>
            </w:r>
          </w:p>
        </w:tc>
        <w:tc>
          <w:tcPr>
            <w:tcW w:type="dxa" w:w="1728"/>
          </w:tcPr>
          <w:p>
            <w:r>
              <w:t>.004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-0.39</w:t>
            </w:r>
          </w:p>
        </w:tc>
        <w:tc>
          <w:tcPr>
            <w:tcW w:type="dxa" w:w="1728"/>
          </w:tcPr>
          <w:p>
            <w:r>
              <w:t>.008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-0.36</w:t>
            </w:r>
          </w:p>
        </w:tc>
        <w:tc>
          <w:tcPr>
            <w:tcW w:type="dxa" w:w="1728"/>
          </w:tcPr>
          <w:p>
            <w:r>
              <w:t>.008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-0.30</w:t>
            </w:r>
          </w:p>
        </w:tc>
        <w:tc>
          <w:tcPr>
            <w:tcW w:type="dxa" w:w="1728"/>
          </w:tcPr>
          <w:p>
            <w:r>
              <w:t>.054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-0.28</w:t>
            </w:r>
          </w:p>
        </w:tc>
        <w:tc>
          <w:tcPr>
            <w:tcW w:type="dxa" w:w="1728"/>
          </w:tcPr>
          <w:p>
            <w:r>
              <w:t>.044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-0.25</w:t>
            </w:r>
          </w:p>
        </w:tc>
        <w:tc>
          <w:tcPr>
            <w:tcW w:type="dxa" w:w="1728"/>
          </w:tcPr>
          <w:p>
            <w:r>
              <w:t>.094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-0.21</w:t>
            </w:r>
          </w:p>
        </w:tc>
        <w:tc>
          <w:tcPr>
            <w:tcW w:type="dxa" w:w="1728"/>
          </w:tcPr>
          <w:p>
            <w:r>
              <w:t>.159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  <w:tr>
        <w:tc>
          <w:tcPr>
            <w:tcW w:type="dxa" w:w="1728"/>
          </w:tcPr>
          <w:p>
            <w:r>
              <w:t>Placebo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-0.16</w:t>
            </w:r>
          </w:p>
        </w:tc>
        <w:tc>
          <w:tcPr>
            <w:tcW w:type="dxa" w:w="1728"/>
          </w:tcPr>
          <w:p>
            <w:r>
              <w:t>.265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-0.14</w:t>
            </w:r>
          </w:p>
        </w:tc>
        <w:tc>
          <w:tcPr>
            <w:tcW w:type="dxa" w:w="1728"/>
          </w:tcPr>
          <w:p>
            <w:r>
              <w:t>.369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-0.07</w:t>
            </w:r>
          </w:p>
        </w:tc>
        <w:tc>
          <w:tcPr>
            <w:tcW w:type="dxa" w:w="1728"/>
          </w:tcPr>
          <w:p>
            <w:r>
              <w:t>.673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-0.05</w:t>
            </w:r>
          </w:p>
        </w:tc>
        <w:tc>
          <w:tcPr>
            <w:tcW w:type="dxa" w:w="1728"/>
          </w:tcPr>
          <w:p>
            <w:r>
              <w:t>.756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-0.00</w:t>
            </w:r>
          </w:p>
        </w:tc>
        <w:tc>
          <w:tcPr>
            <w:tcW w:type="dxa" w:w="1728"/>
          </w:tcPr>
          <w:p>
            <w:r>
              <w:t>.998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.993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.907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.775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.647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0.09</w:t>
            </w:r>
          </w:p>
        </w:tc>
        <w:tc>
          <w:tcPr>
            <w:tcW w:type="dxa" w:w="1728"/>
          </w:tcPr>
          <w:p>
            <w:r>
              <w:t>.594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.584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.308</w:t>
            </w:r>
          </w:p>
        </w:tc>
        <w:tc>
          <w:tcPr>
            <w:tcW w:type="dxa" w:w="1728"/>
          </w:tcPr>
          <w:p>
            <w:r>
              <w:t>ns</w:t>
            </w:r>
          </w:p>
        </w:tc>
      </w:tr>
    </w:tbl>
    <w:p>
      <w:r>
        <w:rPr>
          <w:sz w:val="16"/>
        </w:rPr>
        <w:t>Each row gives the association between the group-mean change in hierarchical level and the principal functional connectivity gradient when one participant is excluded. Participants are ordered by the resulting ρ and are not identified. In the full sample the association was ρ = −0.39 (P = .01) in the psilocybin group and ρ = −0.06 (P = .74) in the placebo group.</w:t>
      </w:r>
    </w:p>
    <w:p>
      <w:r>
        <w:rPr>
          <w:sz w:val="16"/>
        </w:rPr>
        <w:t>Inter-participant consistency of individual change maps, computed as the correlation between each participant's map and the mean of the remaining participants, did not differ between arms (U = 56, P = .37) and did not exceed zero in the psilocybin arm (W = 22, P = .20).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