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eTable X. Post hoc MADRS at days 15 and 42 and its association with change in directedness.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1872"/>
        <w:gridCol w:w="1728"/>
        <w:gridCol w:w="1728"/>
        <w:gridCol w:w="576"/>
        <w:gridCol w:w="648"/>
        <w:gridCol w:w="648"/>
        <w:gridCol w:w="1872"/>
        <w:gridCol w:w="720"/>
        <w:gridCol w:w="1872"/>
        <w:gridCol w:w="720"/>
        <w:gridCol w:w="864"/>
      </w:tblGrid>
      <w:tr>
        <w:tc>
          <w:tcPr>
            <w:tcW w:type="dxa" w:w="1152"/>
          </w:tcPr>
          <w:p>
            <w:r>
              <w:rPr>
                <w:b/>
              </w:rPr>
              <w:t>Visit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Psilocybin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Placebo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U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/>
              </w:rPr>
              <w:t>P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</w:rPr>
              <w:t>Psilocybin ρ (95% CI)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P (FDR)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</w:rPr>
              <w:t>Placebo ρ (95% CI)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P (FDR)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P (perm.)</w:t>
            </w:r>
          </w:p>
        </w:tc>
      </w:tr>
      <w:tr>
        <w:tc>
          <w:tcPr>
            <w:tcW w:type="dxa" w:w="1152"/>
          </w:tcPr>
          <w:p>
            <w:r>
              <w:t>Day 15</w:t>
              <w:br/>
              <w:t>(n = 5 / 6)</w:t>
            </w:r>
          </w:p>
        </w:tc>
        <w:tc>
          <w:tcPr>
            <w:tcW w:type="dxa" w:w="1872"/>
          </w:tcPr>
          <w:p>
            <w:r>
              <w:t>Baseline (day 0)</w:t>
            </w:r>
          </w:p>
        </w:tc>
        <w:tc>
          <w:tcPr>
            <w:tcW w:type="dxa" w:w="1728"/>
          </w:tcPr>
          <w:p>
            <w:r>
              <w:t>22.6 ± 7.9 [23.0]</w:t>
            </w:r>
          </w:p>
        </w:tc>
        <w:tc>
          <w:tcPr>
            <w:tcW w:type="dxa" w:w="1728"/>
          </w:tcPr>
          <w:p>
            <w:r>
              <w:t>27.8 ± 4.5 [27.0]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>.233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>−0.47</w:t>
            </w:r>
          </w:p>
        </w:tc>
        <w:tc>
          <w:tcPr>
            <w:tcW w:type="dxa" w:w="1872"/>
          </w:tcPr>
          <w:p>
            <w:pPr>
              <w:jc w:val="center"/>
            </w:pPr>
          </w:p>
        </w:tc>
        <w:tc>
          <w:tcPr>
            <w:tcW w:type="dxa" w:w="720"/>
          </w:tcPr>
          <w:p>
            <w:pPr>
              <w:jc w:val="center"/>
            </w:pPr>
          </w:p>
        </w:tc>
        <w:tc>
          <w:tcPr>
            <w:tcW w:type="dxa" w:w="1872"/>
          </w:tcPr>
          <w:p>
            <w:pPr>
              <w:jc w:val="center"/>
            </w:pPr>
          </w:p>
        </w:tc>
        <w:tc>
          <w:tcPr>
            <w:tcW w:type="dxa" w:w="720"/>
          </w:tcPr>
          <w:p>
            <w:pPr>
              <w:jc w:val="center"/>
            </w:pPr>
          </w:p>
        </w:tc>
        <w:tc>
          <w:tcPr>
            <w:tcW w:type="dxa" w:w="864"/>
          </w:tcPr>
          <w:p>
            <w:pPr>
              <w:jc w:val="center"/>
            </w:pP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872"/>
          </w:tcPr>
          <w:p>
            <w:r>
              <w:t>Day 15</w:t>
            </w:r>
          </w:p>
        </w:tc>
        <w:tc>
          <w:tcPr>
            <w:tcW w:type="dxa" w:w="1728"/>
          </w:tcPr>
          <w:p>
            <w:r>
              <w:t>5.4 ± 5.2 [4.0]</w:t>
            </w:r>
          </w:p>
        </w:tc>
        <w:tc>
          <w:tcPr>
            <w:tcW w:type="dxa" w:w="1728"/>
          </w:tcPr>
          <w:p>
            <w:r>
              <w:t>24.2 ± 5.6 [22.5]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>.008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>−1.00</w:t>
            </w:r>
          </w:p>
        </w:tc>
        <w:tc>
          <w:tcPr>
            <w:tcW w:type="dxa" w:w="1872"/>
          </w:tcPr>
          <w:p>
            <w:pPr>
              <w:jc w:val="center"/>
            </w:pPr>
          </w:p>
        </w:tc>
        <w:tc>
          <w:tcPr>
            <w:tcW w:type="dxa" w:w="720"/>
          </w:tcPr>
          <w:p>
            <w:pPr>
              <w:jc w:val="center"/>
            </w:pPr>
          </w:p>
        </w:tc>
        <w:tc>
          <w:tcPr>
            <w:tcW w:type="dxa" w:w="1872"/>
          </w:tcPr>
          <w:p>
            <w:pPr>
              <w:jc w:val="center"/>
            </w:pPr>
          </w:p>
        </w:tc>
        <w:tc>
          <w:tcPr>
            <w:tcW w:type="dxa" w:w="720"/>
          </w:tcPr>
          <w:p>
            <w:pPr>
              <w:jc w:val="center"/>
            </w:pPr>
          </w:p>
        </w:tc>
        <w:tc>
          <w:tcPr>
            <w:tcW w:type="dxa" w:w="864"/>
          </w:tcPr>
          <w:p>
            <w:pPr>
              <w:jc w:val="center"/>
            </w:pP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872"/>
          </w:tcPr>
          <w:p>
            <w:r>
              <w:t>Change (day 15 − day 0)</w:t>
            </w:r>
          </w:p>
        </w:tc>
        <w:tc>
          <w:tcPr>
            <w:tcW w:type="dxa" w:w="1728"/>
          </w:tcPr>
          <w:p>
            <w:r>
              <w:t>−17.2 ± 5.8 [−18.0]</w:t>
            </w:r>
          </w:p>
        </w:tc>
        <w:tc>
          <w:tcPr>
            <w:tcW w:type="dxa" w:w="1728"/>
          </w:tcPr>
          <w:p>
            <w:r>
              <w:t>−3.7 ± 6.6 [−1.5]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>.021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>−0.87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−0.45 (−0.95 to 0.72)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1.000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−0.09 (−0.84 to 0.78)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1.000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.637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872"/>
          </w:tcPr>
          <w:p>
            <w:r>
              <w:t>% change</w:t>
            </w:r>
          </w:p>
        </w:tc>
        <w:tc>
          <w:tcPr>
            <w:tcW w:type="dxa" w:w="1728"/>
          </w:tcPr>
          <w:p>
            <w:r>
              <w:t>−77.4 ± 16.9 [−78.3]</w:t>
            </w:r>
          </w:p>
        </w:tc>
        <w:tc>
          <w:tcPr>
            <w:tcW w:type="dxa" w:w="1728"/>
          </w:tcPr>
          <w:p>
            <w:r>
              <w:t>−11.8 ± 20.4 [−6.0]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>.004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>−1.00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0.00 (−0.88 to 0.88)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1.000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−0.09 (−0.84 to 0.78)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1.000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.900</w:t>
            </w:r>
          </w:p>
        </w:tc>
      </w:tr>
      <w:tr>
        <w:tc>
          <w:tcPr>
            <w:tcW w:type="dxa" w:w="1152"/>
          </w:tcPr>
          <w:p>
            <w:r>
              <w:t>Day 42</w:t>
              <w:br/>
              <w:t>(n = 12 / 12)</w:t>
            </w:r>
          </w:p>
        </w:tc>
        <w:tc>
          <w:tcPr>
            <w:tcW w:type="dxa" w:w="1872"/>
          </w:tcPr>
          <w:p>
            <w:r>
              <w:t>Baseline (day 0)</w:t>
            </w:r>
          </w:p>
        </w:tc>
        <w:tc>
          <w:tcPr>
            <w:tcW w:type="dxa" w:w="1728"/>
          </w:tcPr>
          <w:p>
            <w:r>
              <w:t>21.2 ± 5.6 [20.5]</w:t>
            </w:r>
          </w:p>
        </w:tc>
        <w:tc>
          <w:tcPr>
            <w:tcW w:type="dxa" w:w="1728"/>
          </w:tcPr>
          <w:p>
            <w:r>
              <w:t>24.3 ± 5.7 [24.0]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t>95.5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>.182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>−0.33</w:t>
            </w:r>
          </w:p>
        </w:tc>
        <w:tc>
          <w:tcPr>
            <w:tcW w:type="dxa" w:w="1872"/>
          </w:tcPr>
          <w:p>
            <w:pPr>
              <w:jc w:val="center"/>
            </w:pPr>
          </w:p>
        </w:tc>
        <w:tc>
          <w:tcPr>
            <w:tcW w:type="dxa" w:w="720"/>
          </w:tcPr>
          <w:p>
            <w:pPr>
              <w:jc w:val="center"/>
            </w:pPr>
          </w:p>
        </w:tc>
        <w:tc>
          <w:tcPr>
            <w:tcW w:type="dxa" w:w="1872"/>
          </w:tcPr>
          <w:p>
            <w:pPr>
              <w:jc w:val="center"/>
            </w:pPr>
          </w:p>
        </w:tc>
        <w:tc>
          <w:tcPr>
            <w:tcW w:type="dxa" w:w="720"/>
          </w:tcPr>
          <w:p>
            <w:pPr>
              <w:jc w:val="center"/>
            </w:pPr>
          </w:p>
        </w:tc>
        <w:tc>
          <w:tcPr>
            <w:tcW w:type="dxa" w:w="864"/>
          </w:tcPr>
          <w:p>
            <w:pPr>
              <w:jc w:val="center"/>
            </w:pP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872"/>
          </w:tcPr>
          <w:p>
            <w:r>
              <w:t>Day 42</w:t>
            </w:r>
          </w:p>
        </w:tc>
        <w:tc>
          <w:tcPr>
            <w:tcW w:type="dxa" w:w="1728"/>
          </w:tcPr>
          <w:p>
            <w:r>
              <w:t>12.8 ± 9.6 [8.5]</w:t>
            </w:r>
          </w:p>
        </w:tc>
        <w:tc>
          <w:tcPr>
            <w:tcW w:type="dxa" w:w="1728"/>
          </w:tcPr>
          <w:p>
            <w:r>
              <w:t>20.6 ± 7.8 [21.0]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t>106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>.052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>−0.47</w:t>
            </w:r>
          </w:p>
        </w:tc>
        <w:tc>
          <w:tcPr>
            <w:tcW w:type="dxa" w:w="1872"/>
          </w:tcPr>
          <w:p>
            <w:pPr>
              <w:jc w:val="center"/>
            </w:pPr>
          </w:p>
        </w:tc>
        <w:tc>
          <w:tcPr>
            <w:tcW w:type="dxa" w:w="720"/>
          </w:tcPr>
          <w:p>
            <w:pPr>
              <w:jc w:val="center"/>
            </w:pPr>
          </w:p>
        </w:tc>
        <w:tc>
          <w:tcPr>
            <w:tcW w:type="dxa" w:w="1872"/>
          </w:tcPr>
          <w:p>
            <w:pPr>
              <w:jc w:val="center"/>
            </w:pPr>
          </w:p>
        </w:tc>
        <w:tc>
          <w:tcPr>
            <w:tcW w:type="dxa" w:w="720"/>
          </w:tcPr>
          <w:p>
            <w:pPr>
              <w:jc w:val="center"/>
            </w:pPr>
          </w:p>
        </w:tc>
        <w:tc>
          <w:tcPr>
            <w:tcW w:type="dxa" w:w="864"/>
          </w:tcPr>
          <w:p>
            <w:pPr>
              <w:jc w:val="center"/>
            </w:pP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872"/>
          </w:tcPr>
          <w:p>
            <w:r>
              <w:t>Change (day 42 − day 0)</w:t>
            </w:r>
          </w:p>
        </w:tc>
        <w:tc>
          <w:tcPr>
            <w:tcW w:type="dxa" w:w="1728"/>
          </w:tcPr>
          <w:p>
            <w:r>
              <w:t>−8.5 ± 10.3 [−11.0]</w:t>
            </w:r>
          </w:p>
        </w:tc>
        <w:tc>
          <w:tcPr>
            <w:tcW w:type="dxa" w:w="1728"/>
          </w:tcPr>
          <w:p>
            <w:r>
              <w:t>−3.8 ± 4.7 [−4.0]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t>95.5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>.183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>−0.33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−0.75 (−0.93 to −0.32)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.019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0.19 (−0.43 to 0.69)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.553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.008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872"/>
          </w:tcPr>
          <w:p>
            <w:r>
              <w:t>% change</w:t>
            </w:r>
          </w:p>
        </w:tc>
        <w:tc>
          <w:tcPr>
            <w:tcW w:type="dxa" w:w="1728"/>
          </w:tcPr>
          <w:p>
            <w:r>
              <w:t>−38.7 ± 45.6 [−53.9]</w:t>
            </w:r>
          </w:p>
        </w:tc>
        <w:tc>
          <w:tcPr>
            <w:tcW w:type="dxa" w:w="1728"/>
          </w:tcPr>
          <w:p>
            <w:r>
              <w:t>−17.2 ± 20.0 [−16.2]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t>99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>.126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>−0.38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−0.64 (−0.89 to −0.11)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.048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0.27 (−0.36 to 0.73)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.534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.011</w:t>
            </w:r>
          </w:p>
        </w:tc>
      </w:tr>
    </w:tbl>
    <w:p>
      <w:r>
        <w:rPr>
          <w:sz w:val="16"/>
        </w:rPr>
        <w:t>Post hoc analysis of imaged participants with MADRS at the given visit. Values are mean ± SD [median]. U, Mann–Whitney U test (placebo vs psilocybin); r, rank-biserial correlation (r &lt; 0 indicates lower scores in the psilocybin group).</w:t>
      </w:r>
    </w:p>
    <w:p>
      <w:r>
        <w:rPr>
          <w:sz w:val="16"/>
        </w:rPr>
        <w:t>ρ, Spearman correlation between change in directedness (session 2 − session 1) and the MADRS measure within each group, with Fisher 95% CI; P (FDR), Benjamini–Hochberg correction across the 4 correlations at each visit. P (perm.), test of ρ(psilocybin) − ρ(placebo) against 10,000 permutations of the treatment labels.</w:t>
      </w:r>
    </w:p>
    <w:p>
      <w:r>
        <w:rPr>
          <w:sz w:val="16"/>
        </w:rPr>
        <w:t>Day 15 MADRS was available for only 5 psilocybin and 6 placebo participants and is shown for completeness.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