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888780"/>
          <w:sz w:val="20"/>
          <w:szCs w:val="20"/>
        </w:rPr>
        <w:t xml:space="preserve">Granova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6E56"/>
          <w:sz w:val="36"/>
          <w:szCs w:val="36"/>
        </w:rPr>
        <w:t xml:space="preserve">04. Diseño de interfaz y uso de DeepSeek</w:t>
      </w:r>
    </w:p>
    <w:p>
      <w:pPr>
        <w:pBdr>
          <w:bottom w:val="single" w:color="0F6E56" w:sz="6" w:space="8"/>
        </w:pBdr>
        <w:spacing w:after="40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Pantallas nuevas y el rol del asistente de IA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993C1D"/>
          <w:sz w:val="20"/>
          <w:szCs w:val="20"/>
        </w:rPr>
        <w:t xml:space="preserve">Nota: el alcance exacto de "usar DeepSeek" no quedó cerrado con el instructor. Este documento parte del supuesto de que se refiere a extender el asistente de IA que ya corre sobre n8n + DeepSeek dentro del panel administrativo. Confirmar este punto antes de construir.</w:t>
      </w:r>
    </w:p>
    <w:p>
      <w:pPr>
        <w:pStyle w:val="Heading1"/>
        <w:spacing w:after="150" w:before="300"/>
      </w:pPr>
      <w:r>
        <w:t xml:space="preserve">Pantallas nuevas a diseñar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200"/>
      </w:tblGrid>
      <w:tr>
        <w:trPr>
          <w:tblHeader/>
        </w:trPr>
        <w:tc>
          <w:tcPr>
            <w:tcW w:type="dxa" w:w="26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8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quién</w:t>
            </w:r>
          </w:p>
        </w:tc>
        <w:tc>
          <w:tcPr>
            <w:tcW w:type="dxa" w:w="42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/ perfil de cliente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Selector persona natural/jurídica; campos condicionales de documento y razón social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diferenciado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y descuento visibles según tipo de cliente (minorista/mayorista)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compras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compra a finca: cargas, kg, merma, costo, flete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transportadoras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Alta/edición de transportadoras, asignación por pedido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Seguimiento de envíos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Empleado y cliente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del envío: pendiente, despachado, en ruta, entregado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lectura: ventas, inventario, reportes, gestión de usuarios</w:t>
            </w:r>
          </w:p>
        </w:tc>
      </w:tr>
    </w:tbl>
    <w:p>
      <w:pPr>
        <w:pStyle w:val="Heading1"/>
        <w:spacing w:after="150" w:before="300"/>
      </w:pPr>
      <w:r>
        <w:t xml:space="preserve">Principios de diseño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Mantener consistencia con el modo oscuro ya trabajado en DashboardLayout.jsx.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formularios con campos condicionales (PN/PJ) deben ocultar/mostrar campos sin recargar la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panel de empleado prioriza acción rápida (aceptar, asignar, despachar); el panel de admin prioriza visión general (gráficas, totales).</w:t>
      </w:r>
    </w:p>
    <w:p>
      <w:pPr>
        <w:pStyle w:val="Heading1"/>
        <w:spacing w:after="150" w:before="300"/>
      </w:pPr>
      <w:r>
        <w:t xml:space="preserve">Rol propuesto de DeepSeek en el nuevo flujo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Asistente para el cliente: resolver dudas sobre el proceso de registro (PN/PJ) y sobre el estado de su pedido.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Asistente para el empleado: sugerir transportador según el tamaño e historial del pedido, como apoyo a la decisión — no reemplazando el criterio del empleado.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Generación de descripciones de producto a partir de los datos del lote (variedad, región, notas de sabor).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Estas tres son propuestas de alcance, no requisitos confirmados — validar con el instructor cuál (o cuáles) de las tres es la que pidió antes de invertir tiempo de desarrollo en ellas.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2026-08-15T03:17:39.315Z</dcterms:created>
  <dcterms:modified xsi:type="dcterms:W3CDTF">2026-08-15T03:17:39.315Z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