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6B3A1F"/>
          <w:sz w:val="56"/>
          <w:szCs w:val="56"/>
        </w:rPr>
        <w:t xml:space="preserve">ASTER_QGIS_v1_0</w:t>
      </w:r>
    </w:p>
    <w:p>
      <w:pPr>
        <w:spacing w:after="100"/>
        <w:jc w:val="center"/>
      </w:pPr>
      <w:r>
        <w:rPr>
          <w:rFonts w:ascii="Arial" w:cs="Arial" w:eastAsia="Arial" w:hAnsi="Arial"/>
          <w:color w:val="8B5E3C"/>
          <w:sz w:val="32"/>
          <w:szCs w:val="32"/>
        </w:rPr>
        <w:t xml:space="preserve">ASTER Satellite Band Ratio Indices</w:t>
      </w:r>
    </w:p>
    <w:p>
      <w:pPr>
        <w:spacing w:after="600"/>
        <w:jc w:val="center"/>
      </w:pPr>
      <w:r>
        <w:rPr>
          <w:rFonts w:ascii="Arial" w:cs="Arial" w:eastAsia="Arial" w:hAnsi="Arial"/>
          <w:color w:val="A67C5B"/>
          <w:sz w:val="28"/>
          <w:szCs w:val="28"/>
        </w:rPr>
        <w:t xml:space="preserve">QGIS Plugin</w:t>
      </w:r>
    </w:p>
    <w:p>
      <w:pPr>
        <w:pBdr>
          <w:bottom w:val="single" w:color="8B5E3C" w:sz="6" w:space="1"/>
        </w:pBdr>
        <w:spacing w:after="600"/>
        <w:jc w:val="center"/>
      </w:pPr>
    </w:p>
    <w:p>
      <w:pPr>
        <w:spacing w:after="400"/>
        <w:jc w:val="center"/>
      </w:pPr>
      <w:r>
        <w:rPr>
          <w:rFonts w:ascii="Arial" w:cs="Arial" w:eastAsia="Arial" w:hAnsi="Arial"/>
          <w:b/>
          <w:bCs/>
          <w:color w:val="6B3A1F"/>
          <w:sz w:val="40"/>
          <w:szCs w:val="40"/>
        </w:rPr>
        <w:t xml:space="preserve">User Guide</w:t>
      </w:r>
    </w:p>
    <w:p>
      <w:pPr>
        <w:spacing w:after="120"/>
        <w:jc w:val="center"/>
      </w:pPr>
      <w:r>
        <w:rPr>
          <w:rFonts w:ascii="Arial" w:cs="Arial" w:eastAsia="Arial" w:hAnsi="Arial"/>
          <w:color w:val="555555"/>
          <w:sz w:val="24"/>
          <w:szCs w:val="24"/>
        </w:rPr>
        <w:t xml:space="preserve">Version 1.0</w:t>
      </w:r>
    </w:p>
    <w:p>
      <w:pPr>
        <w:spacing w:after="400"/>
        <w:jc w:val="center"/>
      </w:pPr>
      <w:r>
        <w:rPr>
          <w:rFonts w:ascii="Arial" w:cs="Arial" w:eastAsia="Arial" w:hAnsi="Arial"/>
          <w:color w:val="555555"/>
          <w:sz w:val="24"/>
          <w:szCs w:val="24"/>
        </w:rPr>
        <w:t xml:space="preserve">February 2026</w:t>
      </w:r>
    </w:p>
    <w:p>
      <w:pPr>
        <w:spacing w:after="120"/>
        <w:jc w:val="center"/>
      </w:pPr>
      <w:r>
        <w:rPr>
          <w:rFonts w:ascii="Arial" w:cs="Arial" w:eastAsia="Arial" w:hAnsi="Arial"/>
          <w:color w:val="555555"/>
          <w:sz w:val="24"/>
          <w:szCs w:val="24"/>
        </w:rPr>
        <w:t xml:space="preserve">Author: Grant Boxer</w:t>
      </w:r>
    </w:p>
    <w:p>
      <w:pPr>
        <w:jc w:val="center"/>
      </w:pPr>
      <w:r>
        <w:rPr>
          <w:rFonts w:ascii="Arial" w:cs="Arial" w:eastAsia="Arial" w:hAnsi="Arial"/>
          <w:color w:val="8B5E3C"/>
          <w:sz w:val="22"/>
          <w:szCs w:val="22"/>
        </w:rPr>
        <w:t xml:space="preserve">boxerg@iinet.net.au</w:t>
      </w:r>
    </w:p>
    <w:p>
      <w:pPr>
        <w:sectPr>
          <w:pgSz w:w="11906" w:h="16838" w:orient="portrait"/>
          <w:pgMar w:top="1440" w:right="1440" w:bottom="1440" w:left="1440" w:header="708" w:footer="708" w:gutter="0"/>
          <w:pgNumType/>
          <w:docGrid w:linePitch="360"/>
        </w:sectPr>
      </w:pPr>
    </w:p>
    <w:p>
      <w:pPr>
        <w:pStyle w:val="Heading1"/>
        <w:spacing w:after="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360" w:after="200"/>
      </w:pPr>
      <w:r>
        <w:t xml:space="preserve">1. Introduction</w:t>
      </w:r>
    </w:p>
    <w:p>
      <w:pPr>
        <w:pStyle w:val="Heading2"/>
        <w:spacing w:before="280" w:after="160"/>
      </w:pPr>
      <w:r>
        <w:t xml:space="preserve">1.1 Overview</w:t>
      </w:r>
    </w:p>
    <w:p>
      <w:pPr>
        <w:spacing w:after="120"/>
      </w:pPr>
      <w:r>
        <w:rPr>
          <w:rFonts w:ascii="Arial" w:cs="Arial" w:eastAsia="Arial" w:hAnsi="Arial"/>
          <w:sz w:val="22"/>
          <w:szCs w:val="22"/>
        </w:rPr>
        <w:t xml:space="preserve">The ASTER_QGIS_v1_0 plugin computes a comprehensive suite of band ratio indices from ASTER (Advanced Spaceborne Thermal Emission and Reflection Radiometer) satellite imagery within the QGIS desktop GIS environment. These indices are widely used in geological remote sensing and mineral exploration for identifying alteration mineral assemblages, discriminating lithological units, and mapping surface mineralogy.</w:t>
      </w:r>
    </w:p>
    <w:p>
      <w:pPr>
        <w:spacing w:after="120"/>
      </w:pPr>
      <w:r>
        <w:rPr>
          <w:rFonts w:ascii="Arial" w:cs="Arial" w:eastAsia="Arial" w:hAnsi="Arial"/>
          <w:sz w:val="22"/>
          <w:szCs w:val="22"/>
        </w:rPr>
        <w:t xml:space="preserve">The plugin automatically detects ASTER band files from a user-selected folder, computes 21 single-band ratio indices plus 4 multi-band composite images, saves all outputs as LZW-compressed GeoTIFFs with pre-computed display stretches, and optionally loads the results directly into the current QGIS project.</w:t>
      </w:r>
    </w:p>
    <w:p>
      <w:pPr>
        <w:pStyle w:val="Heading2"/>
        <w:spacing w:before="280" w:after="160"/>
      </w:pPr>
      <w:r>
        <w:t xml:space="preserve">1.2 Key Features</w:t>
      </w:r>
    </w:p>
    <w:p>
      <w:pPr>
        <w:pStyle w:val="ListParagraph"/>
        <w:numPr>
          <w:ilvl w:val="0"/>
          <w:numId w:val="2"/>
        </w:numPr>
        <w:spacing w:after="60"/>
      </w:pPr>
      <w:r>
        <w:rPr>
          <w:rFonts w:ascii="Arial" w:cs="Arial" w:eastAsia="Arial" w:hAnsi="Arial"/>
          <w:sz w:val="22"/>
          <w:szCs w:val="22"/>
        </w:rPr>
        <w:t xml:space="preserve">Automatic band detection from standard ASTER file naming conventions (Bands 1–14)</w:t>
      </w:r>
    </w:p>
    <w:p>
      <w:pPr>
        <w:pStyle w:val="ListParagraph"/>
        <w:numPr>
          <w:ilvl w:val="0"/>
          <w:numId w:val="2"/>
        </w:numPr>
        <w:spacing w:after="60"/>
      </w:pPr>
      <w:r>
        <w:rPr>
          <w:rFonts w:ascii="Arial" w:cs="Arial" w:eastAsia="Arial" w:hAnsi="Arial"/>
          <w:sz w:val="22"/>
          <w:szCs w:val="22"/>
        </w:rPr>
        <w:t xml:space="preserve">CRS auto-detected from input band data – no manual coordinate system entry required</w:t>
      </w:r>
    </w:p>
    <w:p>
      <w:pPr>
        <w:pStyle w:val="ListParagraph"/>
        <w:numPr>
          <w:ilvl w:val="0"/>
          <w:numId w:val="2"/>
        </w:numPr>
        <w:spacing w:after="60"/>
      </w:pPr>
      <w:r>
        <w:rPr>
          <w:rFonts w:ascii="Arial" w:cs="Arial" w:eastAsia="Arial" w:hAnsi="Arial"/>
          <w:sz w:val="22"/>
          <w:szCs w:val="22"/>
        </w:rPr>
        <w:t xml:space="preserve">Automatic resampling of SWIR bands (30 m) to VNIR resolution (15 m) where cross-resolution ratios are needed, using bilinear interpolation</w:t>
      </w:r>
    </w:p>
    <w:p>
      <w:pPr>
        <w:pStyle w:val="ListParagraph"/>
        <w:numPr>
          <w:ilvl w:val="0"/>
          <w:numId w:val="2"/>
        </w:numPr>
        <w:spacing w:after="60"/>
      </w:pPr>
      <w:r>
        <w:rPr>
          <w:rFonts w:ascii="Arial" w:cs="Arial" w:eastAsia="Arial" w:hAnsi="Arial"/>
          <w:sz w:val="22"/>
          <w:szCs w:val="22"/>
        </w:rPr>
        <w:t xml:space="preserve">2–98% cumulative-cut display stretch computed from the central 50% of each image to avoid edge and nodata artefacts</w:t>
      </w:r>
    </w:p>
    <w:p>
      <w:pPr>
        <w:pStyle w:val="ListParagraph"/>
        <w:numPr>
          <w:ilvl w:val="0"/>
          <w:numId w:val="2"/>
        </w:numPr>
        <w:spacing w:after="60"/>
      </w:pPr>
      <w:r>
        <w:rPr>
          <w:rFonts w:ascii="Arial" w:cs="Arial" w:eastAsia="Arial" w:hAnsi="Arial"/>
          <w:sz w:val="22"/>
          <w:szCs w:val="22"/>
        </w:rPr>
        <w:t xml:space="preserve">QML sidecar style files saved alongside each output for persistent layer styling</w:t>
      </w:r>
    </w:p>
    <w:p>
      <w:pPr>
        <w:pStyle w:val="ListParagraph"/>
        <w:numPr>
          <w:ilvl w:val="0"/>
          <w:numId w:val="2"/>
        </w:numPr>
        <w:spacing w:after="60"/>
      </w:pPr>
      <w:r>
        <w:rPr>
          <w:rFonts w:ascii="Arial" w:cs="Arial" w:eastAsia="Arial" w:hAnsi="Arial"/>
          <w:sz w:val="22"/>
          <w:szCs w:val="22"/>
        </w:rPr>
        <w:t xml:space="preserve">Graceful degradation – indices requiring missing bands are skipped with a log warning</w:t>
      </w:r>
    </w:p>
    <w:p>
      <w:pPr>
        <w:pStyle w:val="ListParagraph"/>
        <w:numPr>
          <w:ilvl w:val="0"/>
          <w:numId w:val="2"/>
        </w:numPr>
        <w:spacing w:after="60"/>
      </w:pPr>
      <w:r>
        <w:rPr>
          <w:rFonts w:ascii="Arial" w:cs="Arial" w:eastAsia="Arial" w:hAnsi="Arial"/>
          <w:sz w:val="22"/>
          <w:szCs w:val="22"/>
        </w:rPr>
        <w:t xml:space="preserve">No external plugin dependencies – uses only standard QGIS Processing and GDAL tools</w:t>
      </w:r>
    </w:p>
    <w:p>
      <w:pPr>
        <w:pStyle w:val="Heading2"/>
        <w:spacing w:before="280" w:after="160"/>
      </w:pPr>
      <w:r>
        <w:t xml:space="preserve">1.3 ASTER Band Reference</w:t>
      </w:r>
    </w:p>
    <w:p>
      <w:pPr>
        <w:spacing w:after="120"/>
      </w:pPr>
      <w:r>
        <w:rPr>
          <w:rFonts w:ascii="Arial" w:cs="Arial" w:eastAsia="Arial" w:hAnsi="Arial"/>
          <w:sz w:val="22"/>
          <w:szCs w:val="22"/>
        </w:rPr>
        <w:t xml:space="preserve">The ASTER instrument provides 14 spectral bands across three subsystems: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3626"/>
      </w:tblGrid>
      <w:tr>
        <w:tc>
          <w:tcPr>
            <w:tcW w:type="dxa" w:w="1800"/>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Band</w:t>
            </w:r>
          </w:p>
        </w:tc>
        <w:tc>
          <w:tcPr>
            <w:tcW w:type="dxa" w:w="2200"/>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Subsystem</w:t>
            </w:r>
          </w:p>
        </w:tc>
        <w:tc>
          <w:tcPr>
            <w:tcW w:type="dxa" w:w="1800"/>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Resolution</w:t>
            </w:r>
          </w:p>
        </w:tc>
        <w:tc>
          <w:tcPr>
            <w:tcW w:type="dxa" w:w="3226"/>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Wavelength (µm)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VNIR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0.520 – 0.600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VNIR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0.630 – 0.690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VNIR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0.760 – 0.860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SWIR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1.600 – 1.700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SWIR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2.145 – 2.185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SWIR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2.185 – 2.225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SWIR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2.235 – 2.285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SWIR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2.295 – 2.365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SWIR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2.360 – 2.430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90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8.125 – 8.475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90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8.475 – 8.825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90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8.925 – 9.275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90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10.25 – 10.95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90 m</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10.95 – 11.65</w:t>
            </w:r>
          </w:p>
        </w:tc>
      </w:tr>
    </w:tbl>
    <w:p>
      <w:pPr>
        <w:spacing w:after="60"/>
      </w:pPr>
    </w:p>
    <w:p>
      <w:pPr>
        <w:spacing w:after="120"/>
        <w:ind w:left="360"/>
      </w:pPr>
      <w:r>
        <w:rPr>
          <w:rFonts w:ascii="Arial" w:cs="Arial" w:eastAsia="Arial" w:hAnsi="Arial"/>
          <w:b/>
          <w:bCs/>
          <w:i/>
          <w:iCs/>
          <w:color w:val="7A5C00"/>
          <w:sz w:val="22"/>
          <w:szCs w:val="22"/>
        </w:rPr>
        <w:t xml:space="preserve">Note: </w:t>
      </w:r>
      <w:r>
        <w:rPr>
          <w:rFonts w:ascii="Arial" w:cs="Arial" w:eastAsia="Arial" w:hAnsi="Arial"/>
          <w:i/>
          <w:iCs/>
          <w:color w:val="7A5C00"/>
          <w:sz w:val="22"/>
          <w:szCs w:val="22"/>
        </w:rPr>
        <w:t xml:space="preserve">Band 3N (nadir-looking) is mapped to Band 3. Band 3B (backward-looking, used for stereo DEM generation) is not used by this plugin.</w:t>
      </w:r>
    </w:p>
    <w:p>
      <w:r>
        <w:br w:type="page"/>
      </w:r>
    </w:p>
    <w:p>
      <w:pPr>
        <w:pStyle w:val="Heading1"/>
        <w:spacing w:before="360" w:after="200"/>
      </w:pPr>
      <w:r>
        <w:t xml:space="preserve">2. Installation</w:t>
      </w:r>
    </w:p>
    <w:p>
      <w:pPr>
        <w:pStyle w:val="Heading2"/>
        <w:spacing w:before="280" w:after="160"/>
      </w:pPr>
      <w:r>
        <w:t xml:space="preserve">2.1 Requirements</w:t>
      </w:r>
    </w:p>
    <w:p>
      <w:pPr>
        <w:pStyle w:val="ListParagraph"/>
        <w:numPr>
          <w:ilvl w:val="0"/>
          <w:numId w:val="2"/>
        </w:numPr>
        <w:spacing w:after="60"/>
      </w:pPr>
      <w:r>
        <w:rPr>
          <w:rFonts w:ascii="Arial" w:cs="Arial" w:eastAsia="Arial" w:hAnsi="Arial"/>
          <w:sz w:val="22"/>
          <w:szCs w:val="22"/>
        </w:rPr>
        <w:t xml:space="preserve">QGIS 3.28 or later</w:t>
      </w:r>
    </w:p>
    <w:p>
      <w:pPr>
        <w:pStyle w:val="ListParagraph"/>
        <w:numPr>
          <w:ilvl w:val="0"/>
          <w:numId w:val="2"/>
        </w:numPr>
        <w:spacing w:after="60"/>
      </w:pPr>
      <w:r>
        <w:rPr>
          <w:rFonts w:ascii="Arial" w:cs="Arial" w:eastAsia="Arial" w:hAnsi="Arial"/>
          <w:sz w:val="22"/>
          <w:szCs w:val="22"/>
        </w:rPr>
        <w:t xml:space="preserve">Standard GDAL/OGR processing providers must be enabled (they are by default)</w:t>
      </w:r>
    </w:p>
    <w:p>
      <w:pPr>
        <w:pStyle w:val="ListParagraph"/>
        <w:numPr>
          <w:ilvl w:val="0"/>
          <w:numId w:val="2"/>
        </w:numPr>
        <w:spacing w:after="60"/>
      </w:pPr>
      <w:r>
        <w:rPr>
          <w:rFonts w:ascii="Arial" w:cs="Arial" w:eastAsia="Arial" w:hAnsi="Arial"/>
          <w:sz w:val="22"/>
          <w:szCs w:val="22"/>
        </w:rPr>
        <w:t xml:space="preserve">No additional third-party plugins are required (EnMAP-Box and GRASS are not needed)</w:t>
      </w:r>
    </w:p>
    <w:p>
      <w:pPr>
        <w:pStyle w:val="Heading2"/>
        <w:spacing w:before="280" w:after="160"/>
      </w:pPr>
      <w:r>
        <w:t xml:space="preserve">2.2 Install from ZIP</w:t>
      </w:r>
    </w:p>
    <w:p>
      <w:pPr>
        <w:pStyle w:val="ListParagraph"/>
        <w:numPr>
          <w:ilvl w:val="0"/>
          <w:numId w:val="3"/>
        </w:numPr>
        <w:spacing w:after="60"/>
      </w:pPr>
      <w:r>
        <w:rPr>
          <w:rFonts w:ascii="Arial" w:cs="Arial" w:eastAsia="Arial" w:hAnsi="Arial"/>
          <w:sz w:val="22"/>
          <w:szCs w:val="22"/>
        </w:rPr>
        <w:t xml:space="preserve">Download the plugin ZIP file (ASTER_QGIS_v1_0.zip).</w:t>
      </w:r>
    </w:p>
    <w:p>
      <w:pPr>
        <w:pStyle w:val="ListParagraph"/>
        <w:numPr>
          <w:ilvl w:val="0"/>
          <w:numId w:val="3"/>
        </w:numPr>
        <w:spacing w:after="60"/>
      </w:pPr>
      <w:r>
        <w:rPr>
          <w:rFonts w:ascii="Arial" w:cs="Arial" w:eastAsia="Arial" w:hAnsi="Arial"/>
          <w:sz w:val="22"/>
          <w:szCs w:val="22"/>
        </w:rPr>
        <w:t xml:space="preserve">In QGIS, go to Plugins → Manage and Install Plugins → Install from ZIP.</w:t>
      </w:r>
    </w:p>
    <w:p>
      <w:pPr>
        <w:pStyle w:val="ListParagraph"/>
        <w:numPr>
          <w:ilvl w:val="0"/>
          <w:numId w:val="3"/>
        </w:numPr>
        <w:spacing w:after="60"/>
      </w:pPr>
      <w:r>
        <w:rPr>
          <w:rFonts w:ascii="Arial" w:cs="Arial" w:eastAsia="Arial" w:hAnsi="Arial"/>
          <w:sz w:val="22"/>
          <w:szCs w:val="22"/>
        </w:rPr>
        <w:t xml:space="preserve">Browse to the downloaded ZIP file and click Install Plugin.</w:t>
      </w:r>
    </w:p>
    <w:p>
      <w:pPr>
        <w:pStyle w:val="ListParagraph"/>
        <w:numPr>
          <w:ilvl w:val="0"/>
          <w:numId w:val="3"/>
        </w:numPr>
        <w:spacing w:after="60"/>
      </w:pPr>
      <w:r>
        <w:rPr>
          <w:rFonts w:ascii="Arial" w:cs="Arial" w:eastAsia="Arial" w:hAnsi="Arial"/>
          <w:sz w:val="22"/>
          <w:szCs w:val="22"/>
        </w:rPr>
        <w:t xml:space="preserve">The algorithm appears in the Processing Toolbox under ASTER → ASTER Indices.</w:t>
      </w:r>
    </w:p>
    <w:p>
      <w:pPr>
        <w:pStyle w:val="Heading2"/>
        <w:spacing w:before="280" w:after="160"/>
      </w:pPr>
      <w:r>
        <w:t xml:space="preserve">2.3 Manual Installation</w:t>
      </w:r>
    </w:p>
    <w:p>
      <w:pPr>
        <w:spacing w:after="120"/>
      </w:pPr>
      <w:r>
        <w:rPr>
          <w:rFonts w:ascii="Arial" w:cs="Arial" w:eastAsia="Arial" w:hAnsi="Arial"/>
          <w:sz w:val="22"/>
          <w:szCs w:val="22"/>
        </w:rPr>
        <w:t xml:space="preserve">Alternatively, copy the ASTER_QGIS_v1_0 folder to your QGIS plugins directory:</w:t>
      </w:r>
    </w:p>
    <w:p>
      <w:pPr>
        <w:spacing w:after="120"/>
      </w:pPr>
      <w:r>
        <w:rPr>
          <w:rFonts w:ascii="Arial" w:cs="Arial" w:eastAsia="Arial" w:hAnsi="Arial"/>
          <w:b/>
          <w:bCs/>
          <w:sz w:val="22"/>
          <w:szCs w:val="22"/>
        </w:rPr>
        <w:t xml:space="preserve">Windows: </w:t>
      </w:r>
      <w:r>
        <w:rPr>
          <w:rFonts w:ascii="Arial" w:cs="Arial" w:eastAsia="Arial" w:hAnsi="Arial"/>
          <w:sz w:val="22"/>
          <w:szCs w:val="22"/>
        </w:rPr>
        <w:t xml:space="preserve">C:\Users\&lt;username&gt;\AppData\Roaming\QGIS\QGIS3\profiles\default\python\plugins\</w:t>
      </w:r>
    </w:p>
    <w:p>
      <w:pPr>
        <w:spacing w:after="120"/>
      </w:pPr>
      <w:r>
        <w:rPr>
          <w:rFonts w:ascii="Arial" w:cs="Arial" w:eastAsia="Arial" w:hAnsi="Arial"/>
          <w:b/>
          <w:bCs/>
          <w:sz w:val="22"/>
          <w:szCs w:val="22"/>
        </w:rPr>
        <w:t xml:space="preserve">macOS: </w:t>
      </w:r>
      <w:r>
        <w:rPr>
          <w:rFonts w:ascii="Arial" w:cs="Arial" w:eastAsia="Arial" w:hAnsi="Arial"/>
          <w:sz w:val="22"/>
          <w:szCs w:val="22"/>
        </w:rPr>
        <w:t xml:space="preserve">~/Library/Application Support/QGIS/QGIS3/profiles/default/python/plugins/</w:t>
      </w:r>
    </w:p>
    <w:p>
      <w:pPr>
        <w:spacing w:after="120"/>
      </w:pPr>
      <w:r>
        <w:rPr>
          <w:rFonts w:ascii="Arial" w:cs="Arial" w:eastAsia="Arial" w:hAnsi="Arial"/>
          <w:b/>
          <w:bCs/>
          <w:sz w:val="22"/>
          <w:szCs w:val="22"/>
        </w:rPr>
        <w:t xml:space="preserve">Linux: </w:t>
      </w:r>
      <w:r>
        <w:rPr>
          <w:rFonts w:ascii="Arial" w:cs="Arial" w:eastAsia="Arial" w:hAnsi="Arial"/>
          <w:sz w:val="22"/>
          <w:szCs w:val="22"/>
        </w:rPr>
        <w:t xml:space="preserve">~/.local/share/QGIS/QGIS3/profiles/default/python/plugins/</w:t>
      </w:r>
    </w:p>
    <w:p>
      <w:pPr>
        <w:spacing w:after="60"/>
      </w:pPr>
    </w:p>
    <w:p>
      <w:pPr>
        <w:spacing w:after="120"/>
      </w:pPr>
      <w:r>
        <w:rPr>
          <w:rFonts w:ascii="Arial" w:cs="Arial" w:eastAsia="Arial" w:hAnsi="Arial"/>
          <w:sz w:val="22"/>
          <w:szCs w:val="22"/>
        </w:rPr>
        <w:t xml:space="preserve">After copying, restart QGIS and enable the plugin in Plugins → Manage and Install Plugins → Installed.</w:t>
      </w:r>
    </w:p>
    <w:p>
      <w:pPr>
        <w:pStyle w:val="Heading2"/>
        <w:spacing w:before="280" w:after="160"/>
      </w:pPr>
      <w:r>
        <w:t xml:space="preserve">2.4 Upgrading</w:t>
      </w:r>
    </w:p>
    <w:p>
      <w:pPr>
        <w:spacing w:after="120"/>
      </w:pPr>
      <w:r>
        <w:rPr>
          <w:rFonts w:ascii="Arial" w:cs="Arial" w:eastAsia="Arial" w:hAnsi="Arial"/>
          <w:sz w:val="22"/>
          <w:szCs w:val="22"/>
        </w:rPr>
        <w:t xml:space="preserve">When installing a newer version over an existing installation, QGIS will prompt to overwrite the plugin folder. Accept the overwrite, then restart QGIS to ensure the new version loads cleanly.</w:t>
      </w:r>
    </w:p>
    <w:p>
      <w:r>
        <w:br w:type="page"/>
      </w:r>
    </w:p>
    <w:p>
      <w:pPr>
        <w:pStyle w:val="Heading1"/>
        <w:spacing w:before="360" w:after="200"/>
      </w:pPr>
      <w:r>
        <w:t xml:space="preserve">3. Preparing Input Data</w:t>
      </w:r>
    </w:p>
    <w:p>
      <w:pPr>
        <w:pStyle w:val="Heading2"/>
        <w:spacing w:before="280" w:after="160"/>
      </w:pPr>
      <w:r>
        <w:t xml:space="preserve">3.1 Folder Structure</w:t>
      </w:r>
    </w:p>
    <w:p>
      <w:pPr>
        <w:spacing w:after="120"/>
      </w:pPr>
      <w:r>
        <w:rPr>
          <w:rFonts w:ascii="Arial" w:cs="Arial" w:eastAsia="Arial" w:hAnsi="Arial"/>
          <w:sz w:val="22"/>
          <w:szCs w:val="22"/>
        </w:rPr>
        <w:t xml:space="preserve">Place all ASTER band GeoTIFF files for a single scene into one folder. The plugin scans the folder (non-recursively) for .tif and .tiff files and matches them to ASTER bands 1–14 based on filename patterns. Each band should be a single-band GeoTIFF.</w:t>
      </w:r>
    </w:p>
    <w:p>
      <w:pPr>
        <w:pStyle w:val="Heading2"/>
        <w:spacing w:before="280" w:after="160"/>
      </w:pPr>
      <w:r>
        <w:t xml:space="preserve">3.2 Supported Filename Patterns</w:t>
      </w:r>
    </w:p>
    <w:p>
      <w:pPr>
        <w:spacing w:after="120"/>
      </w:pPr>
      <w:r>
        <w:rPr>
          <w:rFonts w:ascii="Arial" w:cs="Arial" w:eastAsia="Arial" w:hAnsi="Arial"/>
          <w:sz w:val="22"/>
          <w:szCs w:val="22"/>
        </w:rPr>
        <w:t xml:space="preserve">The following naming conventions are recognised. Patterns are tried in order from most specific to least specific; the first match for each file is used: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20"/>
                <w:szCs w:val="20"/>
              </w:rPr>
              <w:t xml:space="preserve">Pattern Example</w:t>
            </w:r>
          </w:p>
        </w:tc>
        <w:tc>
          <w:tcPr>
            <w:tcW w:type="dxa" w:w="4513"/>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Band3N.tif</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ASTER VNIR nadir (mapped to Band 3)</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Band1.tif / Band01.tif</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Standard ASTER naming</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Band_1.tif / Band_01.tif</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Underscore-separated variant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B1.tif / B01.tif</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Short-form naming</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B_1.tif / B_01.tif</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Short-form with underscore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*_1.tif / *_01.tif</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Suffix-only pattern (before extension)</w:t>
            </w:r>
          </w:p>
        </w:tc>
      </w:tr>
    </w:tbl>
    <w:p>
      <w:pPr>
        <w:pStyle w:val="Heading2"/>
        <w:spacing w:before="280" w:after="160"/>
      </w:pPr>
      <w:r>
        <w:t xml:space="preserve">3.3 Minimum Band Requirements</w:t>
      </w:r>
    </w:p>
    <w:p>
      <w:pPr>
        <w:pStyle w:val="ListParagraph"/>
        <w:numPr>
          <w:ilvl w:val="0"/>
          <w:numId w:val="2"/>
        </w:numPr>
        <w:spacing w:after="60"/>
      </w:pPr>
      <w:r>
        <w:rPr>
          <w:rFonts w:ascii="Arial" w:cs="Arial" w:eastAsia="Arial" w:hAnsi="Arial"/>
          <w:sz w:val="22"/>
          <w:szCs w:val="22"/>
        </w:rPr>
        <w:t xml:space="preserve">Full VNIR/SWIR index suite: Bands 1–9</w:t>
      </w:r>
    </w:p>
    <w:p>
      <w:pPr>
        <w:pStyle w:val="ListParagraph"/>
        <w:numPr>
          <w:ilvl w:val="0"/>
          <w:numId w:val="2"/>
        </w:numPr>
        <w:spacing w:after="60"/>
      </w:pPr>
      <w:r>
        <w:rPr>
          <w:rFonts w:ascii="Arial" w:cs="Arial" w:eastAsia="Arial" w:hAnsi="Arial"/>
          <w:sz w:val="22"/>
          <w:szCs w:val="22"/>
        </w:rPr>
        <w:t xml:space="preserve">TIR Carbonate index: Bands 13 and 14</w:t>
      </w:r>
    </w:p>
    <w:p>
      <w:pPr>
        <w:pStyle w:val="ListParagraph"/>
        <w:numPr>
          <w:ilvl w:val="0"/>
          <w:numId w:val="2"/>
        </w:numPr>
        <w:spacing w:after="60"/>
      </w:pPr>
      <w:r>
        <w:rPr>
          <w:rFonts w:ascii="Arial" w:cs="Arial" w:eastAsia="Arial" w:hAnsi="Arial"/>
          <w:sz w:val="22"/>
          <w:szCs w:val="22"/>
        </w:rPr>
        <w:t xml:space="preserve">At least 2 bands must be detected or the plugin will report an error</w:t>
      </w:r>
    </w:p>
    <w:p>
      <w:pPr>
        <w:spacing w:after="60"/>
      </w:pPr>
    </w:p>
    <w:p>
      <w:pPr>
        <w:spacing w:after="120"/>
      </w:pPr>
      <w:r>
        <w:rPr>
          <w:rFonts w:ascii="Arial" w:cs="Arial" w:eastAsia="Arial" w:hAnsi="Arial"/>
          <w:sz w:val="22"/>
          <w:szCs w:val="22"/>
        </w:rPr>
        <w:t xml:space="preserve">Missing bands do not cause the plugin to fail – indices that require absent bands are skipped and a warning is written to the processing log.</w:t>
      </w:r>
    </w:p>
    <w:p>
      <w:r>
        <w:br w:type="page"/>
      </w:r>
    </w:p>
    <w:p>
      <w:pPr>
        <w:pStyle w:val="Heading1"/>
        <w:spacing w:before="360" w:after="200"/>
      </w:pPr>
      <w:r>
        <w:t xml:space="preserve">4. Running the Plugin</w:t>
      </w:r>
    </w:p>
    <w:p>
      <w:pPr>
        <w:pStyle w:val="Heading2"/>
        <w:spacing w:before="280" w:after="160"/>
      </w:pPr>
      <w:r>
        <w:t xml:space="preserve">4.1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4513"/>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4513"/>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ASTER Band Folder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Folder containing ASTER band GeoTIFF files. The plugin scans this folder for files matching ASTER naming conventions.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Scene Name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 prefix applied to all output filenames (default: ASTER). E.g. entering "AST_20240115" produces AST_20240115_AKP.tif, etc.</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Output Folder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Destination folder for all output GeoTIFFs and QML style files.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Load Outputs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When checked (default: on), computed layers are loaded into the current QGIS project with pre-computed display stretches.</w:t>
            </w:r>
          </w:p>
        </w:tc>
      </w:tr>
    </w:tbl>
    <w:p>
      <w:pPr>
        <w:pStyle w:val="Heading2"/>
        <w:spacing w:before="280" w:after="160"/>
      </w:pPr>
      <w:r>
        <w:t xml:space="preserve">4.2 Step-by-Step Workflow</w:t>
      </w:r>
    </w:p>
    <w:p>
      <w:pPr>
        <w:pStyle w:val="ListParagraph"/>
        <w:numPr>
          <w:ilvl w:val="0"/>
          <w:numId w:val="4"/>
        </w:numPr>
        <w:spacing w:after="60"/>
      </w:pPr>
      <w:r>
        <w:rPr>
          <w:rFonts w:ascii="Arial" w:cs="Arial" w:eastAsia="Arial" w:hAnsi="Arial"/>
          <w:sz w:val="22"/>
          <w:szCs w:val="22"/>
        </w:rPr>
        <w:t xml:space="preserve">Open the Processing Toolbox (Processing → Toolbox or press Ctrl+Alt+T).</w:t>
      </w:r>
    </w:p>
    <w:p>
      <w:pPr>
        <w:pStyle w:val="ListParagraph"/>
        <w:numPr>
          <w:ilvl w:val="0"/>
          <w:numId w:val="4"/>
        </w:numPr>
        <w:spacing w:after="60"/>
      </w:pPr>
      <w:r>
        <w:rPr>
          <w:rFonts w:ascii="Arial" w:cs="Arial" w:eastAsia="Arial" w:hAnsi="Arial"/>
          <w:sz w:val="22"/>
          <w:szCs w:val="22"/>
        </w:rPr>
        <w:t xml:space="preserve">Expand the ASTER group and double-click ASTER Indices.</w:t>
      </w:r>
    </w:p>
    <w:p>
      <w:pPr>
        <w:pStyle w:val="ListParagraph"/>
        <w:numPr>
          <w:ilvl w:val="0"/>
          <w:numId w:val="4"/>
        </w:numPr>
        <w:spacing w:after="60"/>
      </w:pPr>
      <w:r>
        <w:rPr>
          <w:rFonts w:ascii="Arial" w:cs="Arial" w:eastAsia="Arial" w:hAnsi="Arial"/>
          <w:sz w:val="22"/>
          <w:szCs w:val="22"/>
        </w:rPr>
        <w:t xml:space="preserve">Set the ASTER Band Folder to the folder containing your single-scene band files.</w:t>
      </w:r>
    </w:p>
    <w:p>
      <w:pPr>
        <w:pStyle w:val="ListParagraph"/>
        <w:numPr>
          <w:ilvl w:val="0"/>
          <w:numId w:val="4"/>
        </w:numPr>
        <w:spacing w:after="60"/>
      </w:pPr>
      <w:r>
        <w:rPr>
          <w:rFonts w:ascii="Arial" w:cs="Arial" w:eastAsia="Arial" w:hAnsi="Arial"/>
          <w:sz w:val="22"/>
          <w:szCs w:val="22"/>
        </w:rPr>
        <w:t xml:space="preserve">Enter a Scene Name prefix (e.g. the ASTER granule ID or a descriptive project name).</w:t>
      </w:r>
    </w:p>
    <w:p>
      <w:pPr>
        <w:pStyle w:val="ListParagraph"/>
        <w:numPr>
          <w:ilvl w:val="0"/>
          <w:numId w:val="4"/>
        </w:numPr>
        <w:spacing w:after="60"/>
      </w:pPr>
      <w:r>
        <w:rPr>
          <w:rFonts w:ascii="Arial" w:cs="Arial" w:eastAsia="Arial" w:hAnsi="Arial"/>
          <w:sz w:val="22"/>
          <w:szCs w:val="22"/>
        </w:rPr>
        <w:t xml:space="preserve">Choose an Output Folder where results will be saved.</w:t>
      </w:r>
    </w:p>
    <w:p>
      <w:pPr>
        <w:pStyle w:val="ListParagraph"/>
        <w:numPr>
          <w:ilvl w:val="0"/>
          <w:numId w:val="4"/>
        </w:numPr>
        <w:spacing w:after="60"/>
      </w:pPr>
      <w:r>
        <w:rPr>
          <w:rFonts w:ascii="Arial" w:cs="Arial" w:eastAsia="Arial" w:hAnsi="Arial"/>
          <w:sz w:val="22"/>
          <w:szCs w:val="22"/>
        </w:rPr>
        <w:t xml:space="preserve">Leave Load Outputs checked to have layers added to the map canvas automatically.</w:t>
      </w:r>
    </w:p>
    <w:p>
      <w:pPr>
        <w:pStyle w:val="ListParagraph"/>
        <w:numPr>
          <w:ilvl w:val="0"/>
          <w:numId w:val="4"/>
        </w:numPr>
        <w:spacing w:after="60"/>
      </w:pPr>
      <w:r>
        <w:rPr>
          <w:rFonts w:ascii="Arial" w:cs="Arial" w:eastAsia="Arial" w:hAnsi="Arial"/>
          <w:sz w:val="22"/>
          <w:szCs w:val="22"/>
        </w:rPr>
        <w:t xml:space="preserve">Click Run. Progress is reported in the Log tab of the dialog.</w:t>
      </w:r>
    </w:p>
    <w:p>
      <w:pPr>
        <w:pStyle w:val="Heading2"/>
        <w:spacing w:before="280" w:after="160"/>
      </w:pPr>
      <w:r>
        <w:t xml:space="preserve">4.3 Processing Steps</w:t>
      </w:r>
    </w:p>
    <w:p>
      <w:pPr>
        <w:spacing w:after="120"/>
      </w:pPr>
      <w:r>
        <w:rPr>
          <w:rFonts w:ascii="Arial" w:cs="Arial" w:eastAsia="Arial" w:hAnsi="Arial"/>
          <w:sz w:val="22"/>
          <w:szCs w:val="22"/>
        </w:rPr>
        <w:t xml:space="preserve">Internally the plugin executes the following sequence across approximately 68 processing sub-steps:</w:t>
      </w:r>
    </w:p>
    <w:p>
      <w:pPr>
        <w:pStyle w:val="ListParagraph"/>
        <w:numPr>
          <w:ilvl w:val="0"/>
          <w:numId w:val="2"/>
        </w:numPr>
        <w:spacing w:after="60"/>
      </w:pPr>
      <w:r>
        <w:rPr>
          <w:rFonts w:ascii="Arial" w:cs="Arial" w:eastAsia="Arial" w:hAnsi="Arial"/>
          <w:sz w:val="22"/>
          <w:szCs w:val="22"/>
        </w:rPr>
        <w:t xml:space="preserve">Band detection – scans folder and assigns files to bands 1–14</w:t>
      </w:r>
    </w:p>
    <w:p>
      <w:pPr>
        <w:pStyle w:val="ListParagraph"/>
        <w:numPr>
          <w:ilvl w:val="0"/>
          <w:numId w:val="2"/>
        </w:numPr>
        <w:spacing w:after="60"/>
      </w:pPr>
      <w:r>
        <w:rPr>
          <w:rFonts w:ascii="Arial" w:cs="Arial" w:eastAsia="Arial" w:hAnsi="Arial"/>
          <w:sz w:val="22"/>
          <w:szCs w:val="22"/>
        </w:rPr>
        <w:t xml:space="preserve">Band resampling – SWIR Bands 4 and 5 are resampled from 30 m to 15 m (bilinear) via gdal:warpreproject</w:t>
      </w:r>
    </w:p>
    <w:p>
      <w:pPr>
        <w:pStyle w:val="ListParagraph"/>
        <w:numPr>
          <w:ilvl w:val="0"/>
          <w:numId w:val="2"/>
        </w:numPr>
        <w:spacing w:after="60"/>
      </w:pPr>
      <w:r>
        <w:rPr>
          <w:rFonts w:ascii="Arial" w:cs="Arial" w:eastAsia="Arial" w:hAnsi="Arial"/>
          <w:sz w:val="22"/>
          <w:szCs w:val="22"/>
        </w:rPr>
        <w:t xml:space="preserve">Index calculation – 21 band-ratio indices computed via gdal:rastercalculator</w:t>
      </w:r>
    </w:p>
    <w:p>
      <w:pPr>
        <w:pStyle w:val="ListParagraph"/>
        <w:numPr>
          <w:ilvl w:val="0"/>
          <w:numId w:val="2"/>
        </w:numPr>
        <w:spacing w:after="60"/>
      </w:pPr>
      <w:r>
        <w:rPr>
          <w:rFonts w:ascii="Arial" w:cs="Arial" w:eastAsia="Arial" w:hAnsi="Arial"/>
          <w:sz w:val="22"/>
          <w:szCs w:val="22"/>
        </w:rPr>
        <w:t xml:space="preserve">Composite building – 4 multi-band RGB composites assembled as VRT stacks via gdal:buildvirtualraster</w:t>
      </w:r>
    </w:p>
    <w:p>
      <w:pPr>
        <w:pStyle w:val="ListParagraph"/>
        <w:numPr>
          <w:ilvl w:val="0"/>
          <w:numId w:val="2"/>
        </w:numPr>
        <w:spacing w:after="60"/>
      </w:pPr>
      <w:r>
        <w:rPr>
          <w:rFonts w:ascii="Arial" w:cs="Arial" w:eastAsia="Arial" w:hAnsi="Arial"/>
          <w:sz w:val="22"/>
          <w:szCs w:val="22"/>
        </w:rPr>
        <w:t xml:space="preserve">Save outputs – all results written as LZW-compressed GeoTIFFs via gdal:translate</w:t>
      </w:r>
    </w:p>
    <w:p>
      <w:pPr>
        <w:pStyle w:val="ListParagraph"/>
        <w:numPr>
          <w:ilvl w:val="0"/>
          <w:numId w:val="2"/>
        </w:numPr>
        <w:spacing w:after="60"/>
      </w:pPr>
      <w:r>
        <w:rPr>
          <w:rFonts w:ascii="Arial" w:cs="Arial" w:eastAsia="Arial" w:hAnsi="Arial"/>
          <w:sz w:val="22"/>
          <w:szCs w:val="22"/>
        </w:rPr>
        <w:t xml:space="preserve">Stretch computation – statistics computed from the central 50% of each image; 2–98% stretch applied; QML sidecar saved</w:t>
      </w:r>
    </w:p>
    <w:p>
      <w:pPr>
        <w:pStyle w:val="ListParagraph"/>
        <w:numPr>
          <w:ilvl w:val="0"/>
          <w:numId w:val="2"/>
        </w:numPr>
        <w:spacing w:after="60"/>
      </w:pPr>
      <w:r>
        <w:rPr>
          <w:rFonts w:ascii="Arial" w:cs="Arial" w:eastAsia="Arial" w:hAnsi="Arial"/>
          <w:sz w:val="22"/>
          <w:szCs w:val="22"/>
        </w:rPr>
        <w:t xml:space="preserve">Load layers – if enabled, each output is added to the QGIS project with its QML style applied</w:t>
      </w:r>
    </w:p>
    <w:p>
      <w:r>
        <w:br w:type="page"/>
      </w:r>
    </w:p>
    <w:p>
      <w:pPr>
        <w:pStyle w:val="Heading1"/>
        <w:spacing w:before="360" w:after="200"/>
      </w:pPr>
      <w:r>
        <w:t xml:space="preserve">5. Index Reference</w:t>
      </w:r>
    </w:p>
    <w:p>
      <w:pPr>
        <w:pStyle w:val="Heading2"/>
        <w:spacing w:before="280" w:after="160"/>
      </w:pPr>
      <w:r>
        <w:t xml:space="preserve">5.1 Band Ratio Indices</w:t>
      </w:r>
    </w:p>
    <w:p>
      <w:pPr>
        <w:spacing w:after="120"/>
      </w:pPr>
      <w:r>
        <w:rPr>
          <w:rFonts w:ascii="Arial" w:cs="Arial" w:eastAsia="Arial" w:hAnsi="Arial"/>
          <w:sz w:val="22"/>
          <w:szCs w:val="22"/>
        </w:rPr>
        <w:t xml:space="preserve">The following 21 single-band ratio indices are computed. An asterisk (*) next to a band number indicates the band is resampled from its native resolution to 15 m before the calculation.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3826"/>
      </w:tblGrid>
      <w:tr>
        <w:tc>
          <w:tcPr>
            <w:tcW w:type="dxa" w:w="1800"/>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2200"/>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Formula</w:t>
            </w:r>
          </w:p>
        </w:tc>
        <w:tc>
          <w:tcPr>
            <w:tcW w:type="dxa" w:w="1800"/>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Bands</w:t>
            </w:r>
          </w:p>
        </w:tc>
        <w:tc>
          <w:tcPr>
            <w:tcW w:type="dxa" w:w="3226"/>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AKP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(B4+B6)/B5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4, 5, 6</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Alunite, kaolinite, pyrophyllite – advanced argillic alteration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B5/B6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5, 6</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Clay mineral abundance – argillic alteration and weathering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Amphibole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B6/B8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6, 8</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Amphibole group – greenschist to amphibolite facies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Kaolinite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B7/B5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5, 7</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Kaolinite – weathering products and hydrothermal zones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Dolomite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(B6+B8)/B7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6, 7, 8</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Dolomite vs. other carbonates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Laterite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B4/B5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4, 5</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Lateritic weathering – iron oxides/hydroxides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Host Rock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B5/B6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5, 6</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Lithological discrimination via SWIR absorption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Gossan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B4/B2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4*</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Iron-oxide cap over sulphide mineralisation (B4 resampled 15 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Amph-MgOH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(B6+B9)/B8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6, 8, 9</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MgOH-bearing amphiboles – actinolite, tremolite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Ep-Chl-Amph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(B6+B9)/(B7+B8)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6, 7, 8, 9</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Propylitic alteration – epidote, chlorite, amphibole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Muscovite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B7/B6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6, 7</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White mica – phyllic/sericitic alteration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Phengitic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B5/B6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5, 6</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Phengite (high-Si muscovite) in metamorphic rocks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(B5+B7)/B6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5, 6, 7</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Sericite-Muscovite-Illite-Smectite – phyllic alteration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Carb-Chl-Ep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(B7+B9)/B8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7, 8, 9</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Carbonate, chlorite, epidote – propylitic assemblages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Alteration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B4/B5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4, 5</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General hydrothermal alteration indicator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NDVI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(B3−B2)/(B3+B2)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2, 3</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Normalised Difference Vegetation Index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Ferric Oxides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B4/B3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4*</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Hematite, goethite mapping (B4 resampled 15 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Ferrous Silicates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B5/B4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4, 5</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Chlorite, biotite and other Fe²⁺ silicates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Ferric Iron Ratio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B2/B1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1, 2</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Fe³⁺ absorption in the VNIR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Ferrous Iron Ratio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(B5/B3)+(B1/B2)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2, 3, 5*</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Combined ferrous iron (B5 resampled 15 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Carbonate (TIR)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B13/B14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13, 14</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TIR carbonate rock mapping</w:t>
            </w:r>
          </w:p>
        </w:tc>
      </w:tr>
    </w:tbl>
    <w:p>
      <w:r>
        <w:br w:type="page"/>
      </w:r>
    </w:p>
    <w:p>
      <w:pPr>
        <w:pStyle w:val="Heading2"/>
        <w:spacing w:before="280" w:after="160"/>
      </w:pPr>
      <w:r>
        <w:t xml:space="preserve">5.2 Composite Images</w:t>
      </w:r>
    </w:p>
    <w:p>
      <w:pPr>
        <w:spacing w:after="120"/>
      </w:pPr>
      <w:r>
        <w:rPr>
          <w:rFonts w:ascii="Arial" w:cs="Arial" w:eastAsia="Arial" w:hAnsi="Arial"/>
          <w:sz w:val="22"/>
          <w:szCs w:val="22"/>
        </w:rPr>
        <w:t xml:space="preserve">Four 3-band RGB composite images are produced as multi-band GeoTIFFs: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426"/>
      </w:tblGrid>
      <w:tr>
        <w:tc>
          <w:tcPr>
            <w:tcW w:type="dxa" w:w="1800"/>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Composite</w:t>
            </w:r>
          </w:p>
        </w:tc>
        <w:tc>
          <w:tcPr>
            <w:tcW w:type="dxa" w:w="2200"/>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R, G, B</w:t>
            </w:r>
          </w:p>
        </w:tc>
        <w:tc>
          <w:tcPr>
            <w:tcW w:type="dxa" w:w="1800"/>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Bands</w:t>
            </w:r>
          </w:p>
        </w:tc>
        <w:tc>
          <w:tcPr>
            <w:tcW w:type="dxa" w:w="3226"/>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Natural Colour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B3, B2, B1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1, 2, 3</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True-colour VNIR composite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Geol Discrim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B4/B1, B3/B1, B2/B1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2, 3, 4*</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Lithological discrimination RGB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Geol Discrim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B4/B1, B4/B5, B4/B7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4*, 5, 7</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Alteration and lithology RGB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Geol Discrim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B4/B7, Ferric Ox, Ferric Fe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 2, 3, 4*, 7</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Iron + lithology ratio RGB</w:t>
            </w:r>
          </w:p>
        </w:tc>
      </w:tr>
    </w:tbl>
    <w:p>
      <w:r>
        <w:br w:type="page"/>
      </w:r>
    </w:p>
    <w:p>
      <w:pPr>
        <w:pStyle w:val="Heading1"/>
        <w:spacing w:before="360" w:after="200"/>
      </w:pPr>
      <w:r>
        <w:t xml:space="preserve">6. Output Files</w:t>
      </w:r>
    </w:p>
    <w:p>
      <w:pPr>
        <w:pStyle w:val="Heading2"/>
        <w:spacing w:before="280" w:after="160"/>
      </w:pPr>
      <w:r>
        <w:t xml:space="preserve">6.1 File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4513"/>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Format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GeoTIFF (.tif)</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Type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Float32</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Compression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LZW</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Predictor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(horizontal differencing)</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BigTIFF</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Enabled</w:t>
            </w:r>
          </w:p>
        </w:tc>
      </w:tr>
    </w:tbl>
    <w:p>
      <w:pPr>
        <w:pStyle w:val="Heading2"/>
        <w:spacing w:before="280" w:after="160"/>
      </w:pPr>
      <w:r>
        <w:t xml:space="preserve">6.2 Naming Convention</w:t>
      </w:r>
    </w:p>
    <w:p>
      <w:pPr>
        <w:spacing w:after="120"/>
      </w:pPr>
      <w:r>
        <w:rPr>
          <w:rFonts w:ascii="Arial" w:cs="Arial" w:eastAsia="Arial" w:hAnsi="Arial"/>
          <w:sz w:val="22"/>
          <w:szCs w:val="22"/>
        </w:rPr>
        <w:t xml:space="preserve">Files follow the pattern &lt;SceneName&gt;_&lt;IndexName&gt;.tif. For example, with Scene Name set to "AST_Scene1", the AKP output is AST_Scene1_AKP.tif.</w:t>
      </w:r>
    </w:p>
    <w:p>
      <w:pPr>
        <w:spacing w:after="120"/>
      </w:pPr>
      <w:r>
        <w:rPr>
          <w:rFonts w:ascii="Arial" w:cs="Arial" w:eastAsia="Arial" w:hAnsi="Arial"/>
          <w:sz w:val="22"/>
          <w:szCs w:val="22"/>
        </w:rPr>
        <w:t xml:space="preserve">Each GeoTIFF is accompanied by a QML sidecar style file with the same base name (e.g. AST_Scene1_AKP.qml).</w:t>
      </w:r>
    </w:p>
    <w:p>
      <w:pPr>
        <w:pStyle w:val="Heading2"/>
        <w:spacing w:before="280" w:after="160"/>
      </w:pPr>
      <w:r>
        <w:t xml:space="preserve">6.3 Complete Output File List</w:t>
      </w:r>
    </w:p>
    <w:p>
      <w:pPr>
        <w:spacing w:after="120"/>
      </w:pPr>
      <w:r>
        <w:rPr>
          <w:rFonts w:ascii="Arial" w:cs="Arial" w:eastAsia="Arial" w:hAnsi="Arial"/>
          <w:sz w:val="22"/>
          <w:szCs w:val="22"/>
        </w:rPr>
        <w:t xml:space="preserve">The following table lists all potential output files and the layer names used when loading into QGIS: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9"/>
                <w:szCs w:val="19"/>
              </w:rPr>
              <w:t xml:space="preserve">Output File Suffix</w:t>
            </w:r>
          </w:p>
        </w:tc>
        <w:tc>
          <w:tcPr>
            <w:tcW w:type="dxa" w:w="3200"/>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9"/>
                <w:szCs w:val="19"/>
              </w:rPr>
              <w:t xml:space="preserve">QGIS Layer Name</w:t>
            </w:r>
          </w:p>
        </w:tc>
        <w:tc>
          <w:tcPr>
            <w:tcW w:type="dxa" w:w="3326"/>
            <w:tcBorders>
              <w:top w:val="single" w:color="6B3A1F" w:sz="1"/>
              <w:left w:val="single" w:color="6B3A1F" w:sz="1"/>
              <w:bottom w:val="single" w:color="6B3A1F" w:sz="1"/>
              <w:right w:val="single" w:color="6B3A1F" w:sz="1"/>
            </w:tcBorders>
            <w:shd w:fill="6B3A1F" w:val="clear"/>
            <w:tcMar>
              <w:top w:type="dxa" w:w="60"/>
              <w:left w:type="dxa" w:w="100"/>
              <w:bottom w:type="dxa" w:w="60"/>
              <w:right w:type="dxa" w:w="100"/>
            </w:tcMar>
          </w:tcPr>
          <w:p>
            <w:r>
              <w:rPr>
                <w:rFonts w:ascii="Arial" w:cs="Arial" w:eastAsia="Arial" w:hAnsi="Arial"/>
                <w:b/>
                <w:bCs/>
                <w:color w:val="FFFFFF"/>
                <w:sz w:val="19"/>
                <w:szCs w:val="19"/>
              </w:rPr>
              <w:t xml:space="preserve">Category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_AKP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Alunite-Kaol-Pyrophyllite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Mineral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_Clay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Clay</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Mineral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_Amphibole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Amphibole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Mineral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_Kaolinite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Kaolinite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Mineral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_Dolomite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Dolomite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Mineral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_Laterite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Laterite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Mineral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_HostRock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Host Rock</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Mineral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_Gossan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Gossan</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Mineral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_Amph-MgOH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Amphibole-MgOH</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Mineral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_Ep-Chl-Amph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Epidote-Chlorite-Amph</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_Muscovite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Muscovite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_Phengitic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Phengitic</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_SMIS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Sericite-Musc-Illite-Smectite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_Carb-Chl-Ep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Carbonate-Chlorite-Epidote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_Alteration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Alteration</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_NDVI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NDVI</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Vegetation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_FerricOxides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Ferric Oxides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Iron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_FerrousSilicates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Ferrous Silicates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Iron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_FerricIronRatio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Ferric Iron Ratio</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Iron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_FerrousIronRatio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Ferrous Iron Ratio</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Iron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_Carbonate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Carbonate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TIR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_NatCol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Natural Colour</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 Composite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_GeolDiscrim1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Geol Discrimination 1</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 Composite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_GeolDiscrim2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Geol Discrimination 2</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 Composite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_GeolDiscrim3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Geol Discrimination 3</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 Composite</w:t>
            </w:r>
          </w:p>
        </w:tc>
      </w:tr>
    </w:tbl>
    <w:p>
      <w:pPr>
        <w:pStyle w:val="Heading2"/>
        <w:spacing w:before="280" w:after="160"/>
      </w:pPr>
      <w:r>
        <w:t xml:space="preserve">6.4 Display Stretches</w:t>
      </w:r>
    </w:p>
    <w:p>
      <w:pPr>
        <w:spacing w:after="120"/>
      </w:pPr>
      <w:r>
        <w:rPr>
          <w:rFonts w:ascii="Arial" w:cs="Arial" w:eastAsia="Arial" w:hAnsi="Arial"/>
          <w:sz w:val="22"/>
          <w:szCs w:val="22"/>
        </w:rPr>
        <w:t xml:space="preserve">Each output is delivered with a pre-computed display stretch so layers render meaningfully when loaded. A central subset covering 50% of the image area (centred on the image midpoint) is used to compute band statistics, avoiding edge nodata and border artefacts.</w:t>
      </w:r>
    </w:p>
    <w:p>
      <w:pPr>
        <w:spacing w:after="120"/>
      </w:pPr>
      <w:r>
        <w:rPr>
          <w:rFonts w:ascii="Arial" w:cs="Arial" w:eastAsia="Arial" w:hAnsi="Arial"/>
          <w:sz w:val="22"/>
          <w:szCs w:val="22"/>
        </w:rPr>
        <w:t xml:space="preserve">The stretch range is set to mean ± 2.5×StdDev, clamped to the actual data min/max. This approximates a 2–98% cumulative count cut. Single-band indices use a greyscale renderer, while multi-band composites use an RGB renderer with independent per-band stretching.</w:t>
      </w:r>
    </w:p>
    <w:p>
      <w:pPr>
        <w:spacing w:after="120"/>
      </w:pPr>
      <w:r>
        <w:rPr>
          <w:rFonts w:ascii="Arial" w:cs="Arial" w:eastAsia="Arial" w:hAnsi="Arial"/>
          <w:sz w:val="22"/>
          <w:szCs w:val="22"/>
        </w:rPr>
        <w:t xml:space="preserve">The QML sidecar files ensure that the stretch is automatically applied whenever the layer is subsequently opened in QGIS, even outside of the plugin.</w:t>
      </w:r>
    </w:p>
    <w:p>
      <w:r>
        <w:br w:type="page"/>
      </w:r>
    </w:p>
    <w:p>
      <w:pPr>
        <w:pStyle w:val="Heading1"/>
        <w:spacing w:before="360" w:after="200"/>
      </w:pPr>
      <w:r>
        <w:t xml:space="preserve">7. Technical Notes</w:t>
      </w:r>
    </w:p>
    <w:p>
      <w:pPr>
        <w:pStyle w:val="Heading2"/>
        <w:spacing w:before="280" w:after="160"/>
      </w:pPr>
      <w:r>
        <w:t xml:space="preserve">7.1 Band Resampling</w:t>
      </w:r>
    </w:p>
    <w:p>
      <w:pPr>
        <w:spacing w:after="120"/>
      </w:pPr>
      <w:r>
        <w:rPr>
          <w:rFonts w:ascii="Arial" w:cs="Arial" w:eastAsia="Arial" w:hAnsi="Arial"/>
          <w:sz w:val="22"/>
          <w:szCs w:val="22"/>
        </w:rPr>
        <w:t xml:space="preserve">ASTER VNIR bands (1–3) have 15 m spatial resolution, SWIR bands (4–9) have 30 m, and TIR bands (10–14) have 90 m. When a ratio requires bands from different resolution groups (e.g. Gossan = B4/B2), the coarser-resolution band is resampled to 15 m using bilinear interpolation via the GDAL Warp algorithm. The resampled band is held as a temporary file for the duration of processing.</w:t>
      </w:r>
    </w:p>
    <w:p>
      <w:pPr>
        <w:spacing w:after="120"/>
      </w:pPr>
      <w:r>
        <w:rPr>
          <w:rFonts w:ascii="Arial" w:cs="Arial" w:eastAsia="Arial" w:hAnsi="Arial"/>
          <w:sz w:val="22"/>
          <w:szCs w:val="22"/>
        </w:rPr>
        <w:t xml:space="preserve">Specifically, Band 4 is resampled to 15 m for the Gossan, Ferric Oxides, and Geological Discrimination composite calculations. Band 5 is resampled to 15 m for the Ferrous Iron Ratio calculation.</w:t>
      </w:r>
    </w:p>
    <w:p>
      <w:pPr>
        <w:pStyle w:val="Heading2"/>
        <w:spacing w:before="280" w:after="160"/>
      </w:pPr>
      <w:r>
        <w:t xml:space="preserve">7.2 CRS Handling</w:t>
      </w:r>
    </w:p>
    <w:p>
      <w:pPr>
        <w:spacing w:after="120"/>
      </w:pPr>
      <w:r>
        <w:rPr>
          <w:rFonts w:ascii="Arial" w:cs="Arial" w:eastAsia="Arial" w:hAnsi="Arial"/>
          <w:sz w:val="22"/>
          <w:szCs w:val="22"/>
        </w:rPr>
        <w:t xml:space="preserve">The coordinate reference system is automatically read from the first detected band file. This CRS is passed to VRT composite builds. No manual CRS entry is required or exposed in the interface.</w:t>
      </w:r>
    </w:p>
    <w:p>
      <w:pPr>
        <w:pStyle w:val="Heading2"/>
        <w:spacing w:before="280" w:after="160"/>
      </w:pPr>
      <w:r>
        <w:t xml:space="preserve">7.3 GDAL Processing Algorithms Used</w:t>
      </w:r>
    </w:p>
    <w:p>
      <w:pPr>
        <w:pStyle w:val="ListParagraph"/>
        <w:numPr>
          <w:ilvl w:val="0"/>
          <w:numId w:val="2"/>
        </w:numPr>
        <w:spacing w:after="60"/>
      </w:pPr>
      <w:r>
        <w:rPr>
          <w:rFonts w:ascii="Arial" w:cs="Arial" w:eastAsia="Arial" w:hAnsi="Arial"/>
          <w:sz w:val="22"/>
          <w:szCs w:val="22"/>
        </w:rPr>
        <w:t xml:space="preserve">gdal:rastercalculator – all band arithmetic (21 index calculations plus intermediate ratios for composites)</w:t>
      </w:r>
    </w:p>
    <w:p>
      <w:pPr>
        <w:pStyle w:val="ListParagraph"/>
        <w:numPr>
          <w:ilvl w:val="0"/>
          <w:numId w:val="2"/>
        </w:numPr>
        <w:spacing w:after="60"/>
      </w:pPr>
      <w:r>
        <w:rPr>
          <w:rFonts w:ascii="Arial" w:cs="Arial" w:eastAsia="Arial" w:hAnsi="Arial"/>
          <w:sz w:val="22"/>
          <w:szCs w:val="22"/>
        </w:rPr>
        <w:t xml:space="preserve">gdal:warpreproject – SWIR-to-VNIR resampling (bilinear, 15 m target)</w:t>
      </w:r>
    </w:p>
    <w:p>
      <w:pPr>
        <w:pStyle w:val="ListParagraph"/>
        <w:numPr>
          <w:ilvl w:val="0"/>
          <w:numId w:val="2"/>
        </w:numPr>
        <w:spacing w:after="60"/>
      </w:pPr>
      <w:r>
        <w:rPr>
          <w:rFonts w:ascii="Arial" w:cs="Arial" w:eastAsia="Arial" w:hAnsi="Arial"/>
          <w:sz w:val="22"/>
          <w:szCs w:val="22"/>
        </w:rPr>
        <w:t xml:space="preserve">gdal:translate – saving outputs with LZW compression</w:t>
      </w:r>
    </w:p>
    <w:p>
      <w:pPr>
        <w:pStyle w:val="ListParagraph"/>
        <w:numPr>
          <w:ilvl w:val="0"/>
          <w:numId w:val="2"/>
        </w:numPr>
        <w:spacing w:after="60"/>
      </w:pPr>
      <w:r>
        <w:rPr>
          <w:rFonts w:ascii="Arial" w:cs="Arial" w:eastAsia="Arial" w:hAnsi="Arial"/>
          <w:sz w:val="22"/>
          <w:szCs w:val="22"/>
        </w:rPr>
        <w:t xml:space="preserve">gdal:buildvirtualraster – assembling RGB composites as VRT stacks</w:t>
      </w:r>
    </w:p>
    <w:p>
      <w:pPr>
        <w:pStyle w:val="Heading2"/>
        <w:spacing w:before="280" w:after="160"/>
      </w:pPr>
      <w:r>
        <w:t xml:space="preserve">7.4 Performance</w:t>
      </w:r>
    </w:p>
    <w:p>
      <w:pPr>
        <w:spacing w:after="120"/>
      </w:pPr>
      <w:r>
        <w:rPr>
          <w:rFonts w:ascii="Arial" w:cs="Arial" w:eastAsia="Arial" w:hAnsi="Arial"/>
          <w:sz w:val="22"/>
          <w:szCs w:val="22"/>
        </w:rPr>
        <w:t xml:space="preserve">Processing time depends on scene size and the number of bands available. A typical full-resolution ASTER L1T scene (approximately 60 km × 60 km) with all 14 bands takes several minutes on a modern desktop. The plugin uses GDAL multi-threading for resampling operations where supported.</w:t>
      </w:r>
    </w:p>
    <w:p>
      <w:r>
        <w:br w:type="page"/>
      </w:r>
    </w:p>
    <w:p>
      <w:pPr>
        <w:pStyle w:val="Heading1"/>
        <w:spacing w:before="360" w:after="200"/>
      </w:pPr>
      <w:r>
        <w:t xml:space="preserve">8. Troubleshooting</w:t>
      </w:r>
    </w:p>
    <w:p>
      <w:pPr>
        <w:pStyle w:val="Heading3"/>
        <w:spacing w:before="200" w:after="120"/>
      </w:pPr>
      <w:r>
        <w:t xml:space="preserve">No bands detected</w:t>
      </w:r>
    </w:p>
    <w:p>
      <w:pPr>
        <w:spacing w:after="120"/>
      </w:pPr>
      <w:r>
        <w:rPr>
          <w:rFonts w:ascii="Arial" w:cs="Arial" w:eastAsia="Arial" w:hAnsi="Arial"/>
          <w:sz w:val="22"/>
          <w:szCs w:val="22"/>
        </w:rPr>
        <w:t xml:space="preserve">Verify that band files are GeoTIFFs (.tif or .tiff) and follow one of the naming conventions listed in Section 3.2. The plugin only scans the selected folder – it does not descend into subdirectories.</w:t>
      </w:r>
    </w:p>
    <w:p>
      <w:pPr>
        <w:pStyle w:val="Heading3"/>
        <w:spacing w:before="200" w:after="120"/>
      </w:pPr>
      <w:r>
        <w:t xml:space="preserve">Some indices are missing from the output</w:t>
      </w:r>
    </w:p>
    <w:p>
      <w:pPr>
        <w:spacing w:after="120"/>
      </w:pPr>
      <w:r>
        <w:rPr>
          <w:rFonts w:ascii="Arial" w:cs="Arial" w:eastAsia="Arial" w:hAnsi="Arial"/>
          <w:sz w:val="22"/>
          <w:szCs w:val="22"/>
        </w:rPr>
        <w:t xml:space="preserve">Check the processing log (Log tab) for messages about missing bands. The plugin skips any index whose required bands are not present and reports a warning.</w:t>
      </w:r>
    </w:p>
    <w:p>
      <w:pPr>
        <w:pStyle w:val="Heading3"/>
        <w:spacing w:before="200" w:after="120"/>
      </w:pPr>
      <w:r>
        <w:t xml:space="preserve">Layers display as solid black</w:t>
      </w:r>
    </w:p>
    <w:p>
      <w:pPr>
        <w:spacing w:after="120"/>
      </w:pPr>
      <w:r>
        <w:rPr>
          <w:rFonts w:ascii="Arial" w:cs="Arial" w:eastAsia="Arial" w:hAnsi="Arial"/>
          <w:sz w:val="22"/>
          <w:szCs w:val="22"/>
        </w:rPr>
        <w:t xml:space="preserve">This should not occur as display stretches are applied automatically. If it happens, right-click the layer → Properties → Symbology and set Min/Max Values to Cumulative Count Cut (2–98%). Also verify that the QML sidecar file exists alongside the GeoTIFF.</w:t>
      </w:r>
    </w:p>
    <w:p>
      <w:pPr>
        <w:pStyle w:val="Heading3"/>
        <w:spacing w:before="200" w:after="120"/>
      </w:pPr>
      <w:r>
        <w:t xml:space="preserve">Output files are very large</w:t>
      </w:r>
    </w:p>
    <w:p>
      <w:pPr>
        <w:spacing w:after="120"/>
      </w:pPr>
      <w:r>
        <w:rPr>
          <w:rFonts w:ascii="Arial" w:cs="Arial" w:eastAsia="Arial" w:hAnsi="Arial"/>
          <w:sz w:val="22"/>
          <w:szCs w:val="22"/>
        </w:rPr>
        <w:t xml:space="preserve">Outputs use LZW compression by default. File sizes are driven primarily by the 15 m pixel spacing of VNIR-resolution outputs over large scenes. If storage is a concern, consider clipping the input bands to your area of interest before running the plugin.</w:t>
      </w:r>
    </w:p>
    <w:p>
      <w:pPr>
        <w:pStyle w:val="Heading3"/>
        <w:spacing w:before="200" w:after="120"/>
      </w:pPr>
      <w:r>
        <w:t xml:space="preserve">CRS is not detected</w:t>
      </w:r>
    </w:p>
    <w:p>
      <w:pPr>
        <w:spacing w:after="120"/>
      </w:pPr>
      <w:r>
        <w:rPr>
          <w:rFonts w:ascii="Arial" w:cs="Arial" w:eastAsia="Arial" w:hAnsi="Arial"/>
          <w:sz w:val="22"/>
          <w:szCs w:val="22"/>
        </w:rPr>
        <w:t xml:space="preserve">If the input GeoTIFFs lack embedded CRS metadata, the plugin will proceed but composite VRTs may not be correctly georeferenced. Ensure your band files have valid coordinate system information (check with gdalinfo or the QGIS Layer Properties dialog).</w:t>
      </w:r>
    </w:p>
    <w:p>
      <w:pPr>
        <w:pStyle w:val="Heading3"/>
        <w:spacing w:before="200" w:after="120"/>
      </w:pPr>
      <w:r>
        <w:t xml:space="preserve">Plugin does not appear in the Processing Toolbox</w:t>
      </w:r>
    </w:p>
    <w:p>
      <w:pPr>
        <w:spacing w:after="120"/>
      </w:pPr>
      <w:r>
        <w:rPr>
          <w:rFonts w:ascii="Arial" w:cs="Arial" w:eastAsia="Arial" w:hAnsi="Arial"/>
          <w:sz w:val="22"/>
          <w:szCs w:val="22"/>
        </w:rPr>
        <w:t xml:space="preserve">After installing from ZIP, you may need to restart QGIS. Also verify the plugin is enabled in Plugins → Manage and Install Plugins → Installed.</w:t>
      </w:r>
    </w:p>
    <w:p>
      <w:r>
        <w:br w:type="page"/>
      </w:r>
    </w:p>
    <w:p>
      <w:pPr>
        <w:pStyle w:val="Heading1"/>
        <w:spacing w:before="360" w:after="200"/>
      </w:pPr>
      <w:r>
        <w:t xml:space="preserve">9. Data Sources and References</w:t>
      </w:r>
    </w:p>
    <w:p>
      <w:pPr>
        <w:pStyle w:val="Heading2"/>
        <w:spacing w:before="280" w:after="160"/>
      </w:pPr>
      <w:r>
        <w:t xml:space="preserve">9.1 ASTER Data Access</w:t>
      </w:r>
    </w:p>
    <w:p>
      <w:pPr>
        <w:spacing w:after="120"/>
      </w:pPr>
      <w:r>
        <w:rPr>
          <w:rFonts w:ascii="Arial" w:cs="Arial" w:eastAsia="Arial" w:hAnsi="Arial"/>
          <w:b/>
          <w:bCs/>
          <w:sz w:val="22"/>
          <w:szCs w:val="22"/>
        </w:rPr>
        <w:t xml:space="preserve">USGS EarthExplorer: </w:t>
      </w:r>
      <w:r>
        <w:rPr>
          <w:rFonts w:ascii="Arial" w:cs="Arial" w:eastAsia="Arial" w:hAnsi="Arial"/>
          <w:sz w:val="22"/>
          <w:szCs w:val="22"/>
        </w:rPr>
        <w:t xml:space="preserve">https://earthexplorer.usgs.gov/</w:t>
      </w:r>
    </w:p>
    <w:p>
      <w:pPr>
        <w:spacing w:after="120"/>
      </w:pPr>
      <w:r>
        <w:rPr>
          <w:rFonts w:ascii="Arial" w:cs="Arial" w:eastAsia="Arial" w:hAnsi="Arial"/>
          <w:sz w:val="22"/>
          <w:szCs w:val="22"/>
        </w:rPr>
        <w:t xml:space="preserve">Register for a free account and search for ASTER L1T or L2 products.</w:t>
      </w:r>
    </w:p>
    <w:p>
      <w:pPr>
        <w:spacing w:after="60"/>
      </w:pPr>
    </w:p>
    <w:p>
      <w:pPr>
        <w:spacing w:after="120"/>
      </w:pPr>
      <w:r>
        <w:rPr>
          <w:rFonts w:ascii="Arial" w:cs="Arial" w:eastAsia="Arial" w:hAnsi="Arial"/>
          <w:b/>
          <w:bCs/>
          <w:sz w:val="22"/>
          <w:szCs w:val="22"/>
        </w:rPr>
        <w:t xml:space="preserve">NASA Earthdata Search: </w:t>
      </w:r>
      <w:r>
        <w:rPr>
          <w:rFonts w:ascii="Arial" w:cs="Arial" w:eastAsia="Arial" w:hAnsi="Arial"/>
          <w:sz w:val="22"/>
          <w:szCs w:val="22"/>
        </w:rPr>
        <w:t xml:space="preserve">https://search.earthdata.nasa.gov/</w:t>
      </w:r>
    </w:p>
    <w:p>
      <w:pPr>
        <w:spacing w:after="120"/>
      </w:pPr>
      <w:r>
        <w:rPr>
          <w:rFonts w:ascii="Arial" w:cs="Arial" w:eastAsia="Arial" w:hAnsi="Arial"/>
          <w:sz w:val="22"/>
          <w:szCs w:val="22"/>
        </w:rPr>
        <w:t xml:space="preserve">Alternative portal for searching and downloading ASTER data products.</w:t>
      </w:r>
    </w:p>
    <w:p>
      <w:pPr>
        <w:spacing w:after="60"/>
      </w:pPr>
    </w:p>
    <w:p>
      <w:pPr>
        <w:spacing w:after="120"/>
      </w:pPr>
      <w:r>
        <w:rPr>
          <w:rFonts w:ascii="Arial" w:cs="Arial" w:eastAsia="Arial" w:hAnsi="Arial"/>
          <w:b/>
          <w:bCs/>
          <w:sz w:val="22"/>
          <w:szCs w:val="22"/>
        </w:rPr>
        <w:t xml:space="preserve">ASTER Mission Information: </w:t>
      </w:r>
      <w:r>
        <w:rPr>
          <w:rFonts w:ascii="Arial" w:cs="Arial" w:eastAsia="Arial" w:hAnsi="Arial"/>
          <w:sz w:val="22"/>
          <w:szCs w:val="22"/>
        </w:rPr>
        <w:t xml:space="preserve">https://asterweb.jpl.nasa.gov/</w:t>
      </w:r>
    </w:p>
    <w:p>
      <w:pPr>
        <w:spacing w:after="120"/>
      </w:pPr>
      <w:r>
        <w:rPr>
          <w:rFonts w:ascii="Arial" w:cs="Arial" w:eastAsia="Arial" w:hAnsi="Arial"/>
          <w:sz w:val="22"/>
          <w:szCs w:val="22"/>
        </w:rPr>
        <w:t xml:space="preserve">Official JPL ASTER website with instrument specifications, documentation, and publications.</w:t>
      </w:r>
    </w:p>
    <w:p>
      <w:pPr>
        <w:pStyle w:val="Heading2"/>
        <w:spacing w:before="280" w:after="160"/>
      </w:pPr>
      <w:r>
        <w:t xml:space="preserve">9.2 Related Software</w:t>
      </w:r>
    </w:p>
    <w:p>
      <w:pPr>
        <w:spacing w:after="120"/>
      </w:pPr>
      <w:r>
        <w:rPr>
          <w:rFonts w:ascii="Arial" w:cs="Arial" w:eastAsia="Arial" w:hAnsi="Arial"/>
          <w:b/>
          <w:bCs/>
          <w:sz w:val="22"/>
          <w:szCs w:val="22"/>
        </w:rPr>
        <w:t xml:space="preserve">QGIS Documentation: </w:t>
      </w:r>
      <w:r>
        <w:rPr>
          <w:rFonts w:ascii="Arial" w:cs="Arial" w:eastAsia="Arial" w:hAnsi="Arial"/>
          <w:sz w:val="22"/>
          <w:szCs w:val="22"/>
        </w:rPr>
        <w:t xml:space="preserve">https://docs.qgis.org/</w:t>
      </w:r>
    </w:p>
    <w:p>
      <w:pPr>
        <w:spacing w:after="120"/>
      </w:pPr>
      <w:r>
        <w:rPr>
          <w:rFonts w:ascii="Arial" w:cs="Arial" w:eastAsia="Arial" w:hAnsi="Arial"/>
          <w:sz w:val="22"/>
          <w:szCs w:val="22"/>
        </w:rPr>
        <w:t xml:space="preserve">Official QGIS documentation including the Processing Framework reference.</w:t>
      </w:r>
    </w:p>
    <w:p>
      <w:pPr>
        <w:pStyle w:val="Heading2"/>
        <w:spacing w:before="280" w:after="160"/>
      </w:pPr>
      <w:r>
        <w:t xml:space="preserve">9.3 Citation</w:t>
      </w:r>
    </w:p>
    <w:p>
      <w:pPr>
        <w:spacing w:after="120"/>
      </w:pPr>
      <w:r>
        <w:rPr>
          <w:rFonts w:ascii="Arial" w:cs="Arial" w:eastAsia="Arial" w:hAnsi="Arial"/>
          <w:sz w:val="22"/>
          <w:szCs w:val="22"/>
        </w:rPr>
        <w:t xml:space="preserve">If you use this plugin in your research, please cite the ASTER mission:</w:t>
      </w:r>
    </w:p>
    <w:p>
      <w:pPr>
        <w:spacing w:after="60"/>
      </w:pPr>
    </w:p>
    <w:p>
      <w:pPr>
        <w:spacing w:after="120"/>
      </w:pPr>
      <w:r>
        <w:rPr>
          <w:rFonts w:ascii="Arial" w:cs="Arial" w:eastAsia="Arial" w:hAnsi="Arial"/>
          <w:i/>
          <w:iCs/>
          <w:sz w:val="22"/>
          <w:szCs w:val="22"/>
        </w:rPr>
        <w:t xml:space="preserve">Abrams, M. (2000). The Advanced Spaceborne Thermal Emission and Reflection Radiometer (ASTER): Data products for the high spatial resolution imager on NASA’s Terra platform. International Journal of Remote Sensing, 21(5), 847–859.</w:t>
      </w:r>
    </w:p>
    <w:p>
      <w:pPr>
        <w:pStyle w:val="Heading2"/>
        <w:spacing w:before="280" w:after="160"/>
      </w:pPr>
      <w:r>
        <w:t xml:space="preserve">9.4 Compatibility</w:t>
      </w:r>
    </w:p>
    <w:p>
      <w:pPr>
        <w:spacing w:after="120"/>
      </w:pPr>
      <w:r>
        <w:rPr>
          <w:rFonts w:ascii="Arial" w:cs="Arial" w:eastAsia="Arial" w:hAnsi="Arial"/>
          <w:sz w:val="22"/>
          <w:szCs w:val="22"/>
        </w:rPr>
        <w:t xml:space="preserve">The output GeoTIFF files are compatible with all major geospatial software including ENVI, ArcGIS Pro, Google Earth Engine, and Python libraries such as GDAL, Rasterio, and the raster package in R. The QML sidecar style files are specific to QGIS but do not affect the data files.</w:t>
      </w:r>
    </w:p>
    <w:p>
      <w:pPr>
        <w:spacing w:after="60"/>
      </w:pPr>
    </w:p>
    <w:p>
      <w:pPr>
        <w:spacing w:after="60"/>
      </w:pPr>
    </w:p>
    <w:p>
      <w:pPr>
        <w:pBdr>
          <w:top w:val="single" w:color="8B5E3C" w:sz="6" w:space="8"/>
        </w:pBdr>
        <w:spacing w:before="400" w:after="200"/>
        <w:jc w:val="center"/>
      </w:pPr>
    </w:p>
    <w:p>
      <w:pPr>
        <w:spacing w:after="100"/>
        <w:jc w:val="center"/>
      </w:pPr>
      <w:r>
        <w:rPr>
          <w:rFonts w:ascii="Arial" w:cs="Arial" w:eastAsia="Arial" w:hAnsi="Arial"/>
          <w:i/>
          <w:iCs/>
          <w:color w:val="888888"/>
          <w:sz w:val="22"/>
          <w:szCs w:val="22"/>
        </w:rPr>
        <w:t xml:space="preserve">End of User Guide</w:t>
      </w:r>
    </w:p>
    <w:p>
      <w:pPr>
        <w:jc w:val="center"/>
      </w:pPr>
      <w:r>
        <w:rPr>
          <w:rFonts w:ascii="Arial" w:cs="Arial" w:eastAsia="Arial" w:hAnsi="Arial"/>
          <w:color w:val="AAAAAA"/>
          <w:sz w:val="20"/>
          <w:szCs w:val="20"/>
        </w:rPr>
        <w:t xml:space="preserve">ASTER_QGIS_v1_0 – Version 1.0 – February 2026</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888888"/>
        <w:sz w:val="18"/>
        <w:szCs w:val="18"/>
      </w:rPr>
      <w:t xml:space="preserve">ASTER_QGIS_v1_0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888888"/>
        <w:sz w:val="18"/>
        <w:szCs w:val="18"/>
      </w:rPr>
      <w:t xml:space="preserve">ASTER_QGIS_v1_0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6B3A1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8B5E3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A67C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2026-02-15T07:25:09.549Z</dcterms:created>
  <dcterms:modified xsi:type="dcterms:W3CDTF">2026-02-15T07:25:09.550Z</dcterms:modified>
</cp:coreProperties>
</file>

<file path=docProps/custom.xml><?xml version="1.0" encoding="utf-8"?>
<Properties xmlns="http://schemas.openxmlformats.org/officeDocument/2006/custom-properties" xmlns:vt="http://schemas.openxmlformats.org/officeDocument/2006/docPropsVTypes"/>
</file>