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3C5E"/>
          <w:sz w:val="56"/>
          <w:szCs w:val="56"/>
        </w:rPr>
        <w:t xml:space="preserve">EnMap_QGIS_v1_0</w:t>
      </w:r>
    </w:p>
    <w:p>
      <w:pPr>
        <w:spacing w:after="100"/>
        <w:jc w:val="center"/>
      </w:pPr>
      <w:r>
        <w:rPr>
          <w:rFonts w:ascii="Arial" w:cs="Arial" w:eastAsia="Arial" w:hAnsi="Arial"/>
          <w:color w:val="2E5E86"/>
          <w:sz w:val="32"/>
          <w:szCs w:val="32"/>
        </w:rPr>
        <w:t xml:space="preserve">EnMAP Hyperspectral Satellite Imagery Processor</w:t>
      </w:r>
    </w:p>
    <w:p>
      <w:pPr>
        <w:spacing w:after="600"/>
        <w:jc w:val="center"/>
      </w:pPr>
      <w:r>
        <w:rPr>
          <w:rFonts w:ascii="Arial" w:cs="Arial" w:eastAsia="Arial" w:hAnsi="Arial"/>
          <w:color w:val="3A7CA5"/>
          <w:sz w:val="28"/>
          <w:szCs w:val="28"/>
        </w:rPr>
        <w:t xml:space="preserve">QGIS Plugin</w:t>
      </w:r>
    </w:p>
    <w:p>
      <w:pPr>
        <w:pBdr>
          <w:bottom w:val="single" w:color="2E5E86" w:sz="6" w:space="1"/>
        </w:pBdr>
        <w:spacing w:after="600"/>
        <w:jc w:val="center"/>
      </w:pPr>
    </w:p>
    <w:p>
      <w:pPr>
        <w:spacing w:after="400"/>
        <w:jc w:val="center"/>
      </w:pPr>
      <w:r>
        <w:rPr>
          <w:rFonts w:ascii="Arial" w:cs="Arial" w:eastAsia="Arial" w:hAnsi="Arial"/>
          <w:b/>
          <w:bCs/>
          <w:color w:val="1A3C5E"/>
          <w:sz w:val="40"/>
          <w:szCs w:val="40"/>
        </w:rPr>
        <w:t xml:space="preserve">User Guide</w:t>
      </w:r>
    </w:p>
    <w:p>
      <w:pPr>
        <w:spacing w:after="120"/>
        <w:jc w:val="center"/>
      </w:pPr>
      <w:r>
        <w:rPr>
          <w:rFonts w:ascii="Arial" w:cs="Arial" w:eastAsia="Arial" w:hAnsi="Arial"/>
          <w:color w:val="555555"/>
          <w:sz w:val="24"/>
          <w:szCs w:val="24"/>
        </w:rPr>
        <w:t xml:space="preserve">Version 1.0</w:t>
      </w:r>
    </w:p>
    <w:p>
      <w:pPr>
        <w:spacing w:after="400"/>
        <w:jc w:val="center"/>
      </w:pPr>
      <w:r>
        <w:rPr>
          <w:rFonts w:ascii="Arial" w:cs="Arial" w:eastAsia="Arial" w:hAnsi="Arial"/>
          <w:color w:val="555555"/>
          <w:sz w:val="24"/>
          <w:szCs w:val="24"/>
        </w:rPr>
        <w:t xml:space="preserve">February 2026</w:t>
      </w:r>
    </w:p>
    <w:p>
      <w:pPr>
        <w:spacing w:after="120"/>
        <w:jc w:val="center"/>
      </w:pPr>
      <w:r>
        <w:rPr>
          <w:rFonts w:ascii="Arial" w:cs="Arial" w:eastAsia="Arial" w:hAnsi="Arial"/>
          <w:color w:val="555555"/>
          <w:sz w:val="24"/>
          <w:szCs w:val="24"/>
        </w:rPr>
        <w:t xml:space="preserve">Author: Grant Boxer</w:t>
      </w:r>
    </w:p>
    <w:p>
      <w:pPr>
        <w:jc w:val="center"/>
      </w:pPr>
      <w:r>
        <w:rPr>
          <w:rFonts w:ascii="Arial" w:cs="Arial" w:eastAsia="Arial" w:hAnsi="Arial"/>
          <w:color w:val="2E5E86"/>
          <w:sz w:val="22"/>
          <w:szCs w:val="22"/>
        </w:rPr>
        <w:t xml:space="preserve">boxerg@iinet.net.au</w:t>
      </w:r>
    </w:p>
    <w:p>
      <w:pPr>
        <w:sectPr>
          <w:pgSz w:w="11906" w:h="16838" w:orient="portrait"/>
          <w:pgMar w:top="1440" w:right="1440" w:bottom="1440" w:left="1440" w:header="708" w:footer="708" w:gutter="0"/>
          <w:pgNumType/>
          <w:docGrid w:linePitch="360"/>
        </w:sectPr>
      </w:pPr>
    </w:p>
    <w:p>
      <w:pPr>
        <w:pStyle w:val="Heading1"/>
        <w:spacing w:after="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spacing w:before="360" w:after="200"/>
      </w:pPr>
      <w:r>
        <w:t xml:space="preserve">1. Introduction</w:t>
      </w:r>
    </w:p>
    <w:p>
      <w:pPr>
        <w:pStyle w:val="Heading2"/>
        <w:spacing w:before="280" w:after="160"/>
      </w:pPr>
      <w:r>
        <w:t xml:space="preserve">1.1 Overview</w:t>
      </w:r>
    </w:p>
    <w:p>
      <w:pPr>
        <w:spacing w:after="120"/>
      </w:pPr>
      <w:r>
        <w:rPr>
          <w:rFonts w:ascii="Arial" w:cs="Arial" w:eastAsia="Arial" w:hAnsi="Arial"/>
          <w:sz w:val="22"/>
          <w:szCs w:val="22"/>
        </w:rPr>
        <w:t xml:space="preserve">The EnMap_QGIS_v1_0 plugin automates the processing of EnMAP (Environmental Mapping and Analysis Program) hyperspectral satellite imagery within the QGIS desktop GIS environment. It generates a comprehensive suite of spectral indices used for geological mapping, mineral identification, alteration mapping, and environmental monitoring.</w:t>
      </w:r>
    </w:p>
    <w:p>
      <w:pPr>
        <w:spacing w:after="120"/>
      </w:pPr>
      <w:r>
        <w:rPr>
          <w:rFonts w:ascii="Arial" w:cs="Arial" w:eastAsia="Arial" w:hAnsi="Arial"/>
          <w:sz w:val="22"/>
          <w:szCs w:val="22"/>
        </w:rPr>
        <w:t xml:space="preserve">The plugin implements a complete processing chain of 119 steps that imports EnMAP Level 2A (atmospherically corrected) data, calculates over 50 spectral indices based on diagnostic absorption features, creates RGB composite images for visualisation, and automatically saves and loads results into your QGIS project.</w:t>
      </w:r>
    </w:p>
    <w:p>
      <w:pPr>
        <w:pStyle w:val="Heading2"/>
        <w:spacing w:before="280" w:after="160"/>
      </w:pPr>
      <w:r>
        <w:t xml:space="preserve">1.2 What is EnMAP?</w:t>
      </w:r>
    </w:p>
    <w:p>
      <w:pPr>
        <w:spacing w:after="120"/>
      </w:pPr>
      <w:r>
        <w:rPr>
          <w:rFonts w:ascii="Arial" w:cs="Arial" w:eastAsia="Arial" w:hAnsi="Arial"/>
          <w:sz w:val="22"/>
          <w:szCs w:val="22"/>
        </w:rPr>
        <w:t xml:space="preserve">EnMAP (Environmental Mapping and Analysis Program) is a German hyperspectral satellite mission operated by the German Aerospace Center (DLR). The satellite acquires imaging spectrometry data covering the wavelength range from approximately 420 to 2450 nm. Depending on the product version, EnMAP data may contain up to 242 spectral bands (though L2A products typically contain 219 to 224 bands after quality filtering by the ground segment).</w:t>
      </w:r>
    </w:p>
    <w:p>
      <w:pPr>
        <w:spacing w:after="120"/>
      </w:pPr>
      <w:r>
        <w:rPr>
          <w:rFonts w:ascii="Arial" w:cs="Arial" w:eastAsia="Arial" w:hAnsi="Arial"/>
          <w:sz w:val="22"/>
          <w:szCs w:val="22"/>
        </w:rPr>
        <w:t xml:space="preserve">This rich spectral information enables detailed analysis of Earth surface materials, making EnMAP data particularly valuable for geological mapping, mineral exploration, vegetation studies, and environmental monitoring.</w:t>
      </w:r>
    </w:p>
    <w:p>
      <w:pPr>
        <w:pStyle w:val="Heading2"/>
        <w:spacing w:before="280" w:after="160"/>
      </w:pPr>
      <w:r>
        <w:t xml:space="preserve">1.3 What Does This Plugin Do?</w:t>
      </w:r>
    </w:p>
    <w:p>
      <w:pPr>
        <w:spacing w:after="120"/>
      </w:pPr>
      <w:r>
        <w:rPr>
          <w:rFonts w:ascii="Arial" w:cs="Arial" w:eastAsia="Arial" w:hAnsi="Arial"/>
          <w:sz w:val="22"/>
          <w:szCs w:val="22"/>
        </w:rPr>
        <w:t xml:space="preserve">The plugin performs the following operations in a single automated workflow:</w:t>
      </w:r>
    </w:p>
    <w:p>
      <w:pPr>
        <w:pStyle w:val="ListParagraph"/>
        <w:numPr>
          <w:ilvl w:val="0"/>
          <w:numId w:val="2"/>
        </w:numPr>
        <w:spacing w:after="60"/>
      </w:pPr>
      <w:r>
        <w:rPr>
          <w:rFonts w:ascii="Arial" w:cs="Arial" w:eastAsia="Arial" w:hAnsi="Arial"/>
          <w:sz w:val="22"/>
          <w:szCs w:val="22"/>
        </w:rPr>
        <w:t xml:space="preserve">Imports EnMAP L2A data directly via GDAL, ensuring all available spectral bands are loaded</w:t>
      </w:r>
    </w:p>
    <w:p>
      <w:pPr>
        <w:pStyle w:val="ListParagraph"/>
        <w:numPr>
          <w:ilvl w:val="0"/>
          <w:numId w:val="2"/>
        </w:numPr>
        <w:spacing w:after="60"/>
      </w:pPr>
      <w:r>
        <w:rPr>
          <w:rFonts w:ascii="Arial" w:cs="Arial" w:eastAsia="Arial" w:hAnsi="Arial"/>
          <w:sz w:val="22"/>
          <w:szCs w:val="22"/>
        </w:rPr>
        <w:t xml:space="preserve">Creates spectral subsets for targeted wavelength regions used in index calculations</w:t>
      </w:r>
    </w:p>
    <w:p>
      <w:pPr>
        <w:pStyle w:val="ListParagraph"/>
        <w:numPr>
          <w:ilvl w:val="0"/>
          <w:numId w:val="2"/>
        </w:numPr>
        <w:spacing w:after="60"/>
      </w:pPr>
      <w:r>
        <w:rPr>
          <w:rFonts w:ascii="Arial" w:cs="Arial" w:eastAsia="Arial" w:hAnsi="Arial"/>
          <w:sz w:val="22"/>
          <w:szCs w:val="22"/>
        </w:rPr>
        <w:t xml:space="preserve">Calculates over 50 spectral indices using band ratios and averaging formulas</w:t>
      </w:r>
    </w:p>
    <w:p>
      <w:pPr>
        <w:pStyle w:val="ListParagraph"/>
        <w:numPr>
          <w:ilvl w:val="0"/>
          <w:numId w:val="2"/>
        </w:numPr>
        <w:spacing w:after="60"/>
      </w:pPr>
      <w:r>
        <w:rPr>
          <w:rFonts w:ascii="Arial" w:cs="Arial" w:eastAsia="Arial" w:hAnsi="Arial"/>
          <w:sz w:val="22"/>
          <w:szCs w:val="22"/>
        </w:rPr>
        <w:t xml:space="preserve">Generates four RGB composite images for geological visualisation</w:t>
      </w:r>
    </w:p>
    <w:p>
      <w:pPr>
        <w:pStyle w:val="ListParagraph"/>
        <w:numPr>
          <w:ilvl w:val="0"/>
          <w:numId w:val="2"/>
        </w:numPr>
        <w:spacing w:after="60"/>
      </w:pPr>
      <w:r>
        <w:rPr>
          <w:rFonts w:ascii="Arial" w:cs="Arial" w:eastAsia="Arial" w:hAnsi="Arial"/>
          <w:sz w:val="22"/>
          <w:szCs w:val="22"/>
        </w:rPr>
        <w:t xml:space="preserve">Saves all 26 output products as compressed GeoTIFF files</w:t>
      </w:r>
    </w:p>
    <w:p>
      <w:pPr>
        <w:pStyle w:val="ListParagraph"/>
        <w:numPr>
          <w:ilvl w:val="0"/>
          <w:numId w:val="2"/>
        </w:numPr>
        <w:spacing w:after="60"/>
      </w:pPr>
      <w:r>
        <w:rPr>
          <w:rFonts w:ascii="Arial" w:cs="Arial" w:eastAsia="Arial" w:hAnsi="Arial"/>
          <w:sz w:val="22"/>
          <w:szCs w:val="22"/>
        </w:rPr>
        <w:t xml:space="preserve">Automatically loads all results into the current QGIS project with descriptive layer names</w:t>
      </w:r>
    </w:p>
    <w:p>
      <w:pPr>
        <w:pStyle w:val="Heading2"/>
        <w:spacing w:before="280" w:after="160"/>
      </w:pPr>
      <w:r>
        <w:t xml:space="preserve">1.4 Key Features</w:t>
      </w:r>
    </w:p>
    <w:p>
      <w:pPr>
        <w:pStyle w:val="ListParagraph"/>
        <w:numPr>
          <w:ilvl w:val="0"/>
          <w:numId w:val="2"/>
        </w:numPr>
        <w:spacing w:after="60"/>
      </w:pPr>
      <w:r>
        <w:rPr>
          <w:rFonts w:ascii="Arial" w:cs="Arial" w:eastAsia="Arial" w:hAnsi="Arial"/>
          <w:sz w:val="22"/>
          <w:szCs w:val="22"/>
        </w:rPr>
        <w:t xml:space="preserve">Single-click processing of entire EnMAP scenes</w:t>
      </w:r>
    </w:p>
    <w:p>
      <w:pPr>
        <w:pStyle w:val="ListParagraph"/>
        <w:numPr>
          <w:ilvl w:val="0"/>
          <w:numId w:val="2"/>
        </w:numPr>
        <w:spacing w:after="60"/>
      </w:pPr>
      <w:r>
        <w:rPr>
          <w:rFonts w:ascii="Arial" w:cs="Arial" w:eastAsia="Arial" w:hAnsi="Arial"/>
          <w:sz w:val="22"/>
          <w:szCs w:val="22"/>
        </w:rPr>
        <w:t xml:space="preserve">Real-time progress tracking with a 119-step progress bar</w:t>
      </w:r>
    </w:p>
    <w:p>
      <w:pPr>
        <w:pStyle w:val="ListParagraph"/>
        <w:numPr>
          <w:ilvl w:val="0"/>
          <w:numId w:val="2"/>
        </w:numPr>
        <w:spacing w:after="60"/>
      </w:pPr>
      <w:r>
        <w:rPr>
          <w:rFonts w:ascii="Arial" w:cs="Arial" w:eastAsia="Arial" w:hAnsi="Arial"/>
          <w:sz w:val="22"/>
          <w:szCs w:val="22"/>
        </w:rPr>
        <w:t xml:space="preserve">Cancellable at any processing step</w:t>
      </w:r>
    </w:p>
    <w:p>
      <w:pPr>
        <w:pStyle w:val="ListParagraph"/>
        <w:numPr>
          <w:ilvl w:val="0"/>
          <w:numId w:val="2"/>
        </w:numPr>
        <w:spacing w:after="60"/>
      </w:pPr>
      <w:r>
        <w:rPr>
          <w:rFonts w:ascii="Arial" w:cs="Arial" w:eastAsia="Arial" w:hAnsi="Arial"/>
          <w:sz w:val="22"/>
          <w:szCs w:val="22"/>
        </w:rPr>
        <w:t xml:space="preserve">Adaptive band handling for both 219-band and 224-band products</w:t>
      </w:r>
    </w:p>
    <w:p>
      <w:pPr>
        <w:pStyle w:val="ListParagraph"/>
        <w:numPr>
          <w:ilvl w:val="0"/>
          <w:numId w:val="2"/>
        </w:numPr>
        <w:spacing w:after="60"/>
      </w:pPr>
      <w:r>
        <w:rPr>
          <w:rFonts w:ascii="Arial" w:cs="Arial" w:eastAsia="Arial" w:hAnsi="Arial"/>
          <w:sz w:val="22"/>
          <w:szCs w:val="22"/>
        </w:rPr>
        <w:t xml:space="preserve">Compressed GeoTIFF output with LZW compression and BigTIFF support</w:t>
      </w:r>
    </w:p>
    <w:p>
      <w:pPr>
        <w:pStyle w:val="ListParagraph"/>
        <w:numPr>
          <w:ilvl w:val="0"/>
          <w:numId w:val="2"/>
        </w:numPr>
        <w:spacing w:after="60"/>
      </w:pPr>
      <w:r>
        <w:rPr>
          <w:rFonts w:ascii="Arial" w:cs="Arial" w:eastAsia="Arial" w:hAnsi="Arial"/>
          <w:sz w:val="22"/>
          <w:szCs w:val="22"/>
        </w:rPr>
        <w:t xml:space="preserve">Integration with both EnMAP-Box and GDAL processing algorithms</w:t>
      </w:r>
    </w:p>
    <w:p>
      <w:r>
        <w:br w:type="page"/>
      </w:r>
    </w:p>
    <w:p>
      <w:pPr>
        <w:pStyle w:val="Heading1"/>
        <w:spacing w:before="360" w:after="200"/>
      </w:pPr>
      <w:r>
        <w:t xml:space="preserve">2. System Requirements</w:t>
      </w:r>
    </w:p>
    <w:p>
      <w:pPr>
        <w:pStyle w:val="Heading2"/>
        <w:spacing w:before="280" w:after="160"/>
      </w:pPr>
      <w:r>
        <w:t xml:space="preserve">2.1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E86" w:sz="1"/>
              <w:left w:val="single" w:color="2E5E86" w:sz="1"/>
              <w:bottom w:val="single" w:color="2E5E86" w:sz="1"/>
              <w:right w:val="single" w:color="2E5E86" w:sz="1"/>
            </w:tcBorders>
            <w:shd w:fill="2E5E86"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4680"/>
            <w:tcBorders>
              <w:top w:val="single" w:color="2E5E86" w:sz="1"/>
              <w:left w:val="single" w:color="2E5E86" w:sz="1"/>
              <w:bottom w:val="single" w:color="2E5E86" w:sz="1"/>
              <w:right w:val="single" w:color="2E5E86" w:sz="1"/>
            </w:tcBorders>
            <w:shd w:fill="2E5E86"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QGIS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Version 3.0 or higher (3.16+ recommended)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Python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3.6+ (included with QGIS)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EnMAP-Box Plugin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Required for EnMAP import and raster save tools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GDAL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Included with QGIS (used for raster calculations)</w:t>
            </w:r>
          </w:p>
        </w:tc>
      </w:tr>
    </w:tbl>
    <w:p>
      <w:pPr>
        <w:spacing w:after="60"/>
      </w:pPr>
    </w:p>
    <w:p>
      <w:pPr>
        <w:pStyle w:val="Heading2"/>
        <w:spacing w:before="280" w:after="160"/>
      </w:pPr>
      <w:r>
        <w:t xml:space="preserve">2.2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E86" w:sz="1"/>
              <w:left w:val="single" w:color="2E5E86" w:sz="1"/>
              <w:bottom w:val="single" w:color="2E5E86" w:sz="1"/>
              <w:right w:val="single" w:color="2E5E86" w:sz="1"/>
            </w:tcBorders>
            <w:shd w:fill="2E5E8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680"/>
            <w:tcBorders>
              <w:top w:val="single" w:color="2E5E86" w:sz="1"/>
              <w:left w:val="single" w:color="2E5E86" w:sz="1"/>
              <w:bottom w:val="single" w:color="2E5E86" w:sz="1"/>
              <w:right w:val="single" w:color="2E5E86" w:sz="1"/>
            </w:tcBorders>
            <w:shd w:fill="2E5E86" w:val="clear"/>
            <w:tcMar>
              <w:top w:type="dxa" w:w="60"/>
              <w:left w:type="dxa" w:w="100"/>
              <w:bottom w:type="dxa" w:w="60"/>
              <w:right w:type="dxa" w:w="100"/>
            </w:tcMar>
          </w:tcPr>
          <w:p>
            <w:r>
              <w:rPr>
                <w:rFonts w:ascii="Arial" w:cs="Arial" w:eastAsia="Arial" w:hAnsi="Arial"/>
                <w:b/>
                <w:bCs/>
                <w:color w:val="FFFFFF"/>
                <w:sz w:val="20"/>
                <w:szCs w:val="20"/>
              </w:rPr>
              <w:t xml:space="preserve">Recommendation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 GB minimum, 16 GB recommended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Disk Space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 GB free space for processing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Storage Type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SSD recommended for faster I/O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Operating System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Windows 10+, macOS 10.13+, or Linux</w:t>
            </w:r>
          </w:p>
        </w:tc>
      </w:tr>
    </w:tbl>
    <w:p>
      <w:pPr>
        <w:spacing w:after="60"/>
      </w:pPr>
    </w:p>
    <w:p>
      <w:pPr>
        <w:pStyle w:val="Heading2"/>
        <w:spacing w:before="280" w:after="160"/>
      </w:pPr>
      <w:r>
        <w:t xml:space="preserve">2.3 Input Data Requirements</w:t>
      </w:r>
    </w:p>
    <w:p>
      <w:pPr>
        <w:spacing w:after="120"/>
      </w:pPr>
      <w:r>
        <w:rPr>
          <w:rFonts w:ascii="Arial" w:cs="Arial" w:eastAsia="Arial" w:hAnsi="Arial"/>
          <w:sz w:val="22"/>
          <w:szCs w:val="22"/>
        </w:rPr>
        <w:t xml:space="preserve">You will need EnMAP Level 2A (L2A) atmospherically corrected data, which can be downloaded from the EnMAP Ground Segment portal at https://planning.enmap.org/. The plugin requires the metadata XML file that accompanies the EnMAP data product. All associated image files must be present in the same directory as the XML file.</w:t>
      </w:r>
    </w:p>
    <w:p>
      <w:r>
        <w:br w:type="page"/>
      </w:r>
    </w:p>
    <w:p>
      <w:pPr>
        <w:pStyle w:val="Heading1"/>
        <w:spacing w:before="360" w:after="200"/>
      </w:pPr>
      <w:r>
        <w:t xml:space="preserve">3. Installation</w:t>
      </w:r>
    </w:p>
    <w:p>
      <w:pPr>
        <w:pStyle w:val="Heading2"/>
        <w:spacing w:before="280" w:after="160"/>
      </w:pPr>
      <w:r>
        <w:t xml:space="preserve">3.1 Installing the EnMAP-Box Plugin (Prerequisite)</w:t>
      </w:r>
    </w:p>
    <w:p>
      <w:pPr>
        <w:spacing w:after="120"/>
      </w:pPr>
      <w:r>
        <w:rPr>
          <w:rFonts w:ascii="Arial" w:cs="Arial" w:eastAsia="Arial" w:hAnsi="Arial"/>
          <w:sz w:val="22"/>
          <w:szCs w:val="22"/>
        </w:rPr>
        <w:t xml:space="preserve">The EnMap_QGIS_v1_0 plugin depends on the EnMAP-Box plugin for several processing algorithms. Install it first:</w:t>
      </w:r>
    </w:p>
    <w:p>
      <w:pPr>
        <w:pStyle w:val="ListParagraph"/>
        <w:numPr>
          <w:ilvl w:val="0"/>
          <w:numId w:val="3"/>
        </w:numPr>
        <w:spacing w:after="60"/>
      </w:pPr>
      <w:r>
        <w:rPr>
          <w:rFonts w:ascii="Arial" w:cs="Arial" w:eastAsia="Arial" w:hAnsi="Arial"/>
          <w:sz w:val="22"/>
          <w:szCs w:val="22"/>
        </w:rPr>
        <w:t xml:space="preserve">Open QGIS</w:t>
      </w:r>
    </w:p>
    <w:p>
      <w:pPr>
        <w:pStyle w:val="ListParagraph"/>
        <w:numPr>
          <w:ilvl w:val="0"/>
          <w:numId w:val="3"/>
        </w:numPr>
        <w:spacing w:after="60"/>
      </w:pPr>
      <w:r>
        <w:rPr>
          <w:rFonts w:ascii="Arial" w:cs="Arial" w:eastAsia="Arial" w:hAnsi="Arial"/>
          <w:sz w:val="22"/>
          <w:szCs w:val="22"/>
        </w:rPr>
        <w:t xml:space="preserve">Navigate to Plugins &gt; Manage and Install Plugins</w:t>
      </w:r>
    </w:p>
    <w:p>
      <w:pPr>
        <w:pStyle w:val="ListParagraph"/>
        <w:numPr>
          <w:ilvl w:val="0"/>
          <w:numId w:val="3"/>
        </w:numPr>
        <w:spacing w:after="60"/>
      </w:pPr>
      <w:r>
        <w:rPr>
          <w:rFonts w:ascii="Arial" w:cs="Arial" w:eastAsia="Arial" w:hAnsi="Arial"/>
          <w:sz w:val="22"/>
          <w:szCs w:val="22"/>
        </w:rPr>
        <w:t xml:space="preserve">Click the "All" tab and search for "EnMAP-Box"</w:t>
      </w:r>
    </w:p>
    <w:p>
      <w:pPr>
        <w:pStyle w:val="ListParagraph"/>
        <w:numPr>
          <w:ilvl w:val="0"/>
          <w:numId w:val="3"/>
        </w:numPr>
        <w:spacing w:after="60"/>
      </w:pPr>
      <w:r>
        <w:rPr>
          <w:rFonts w:ascii="Arial" w:cs="Arial" w:eastAsia="Arial" w:hAnsi="Arial"/>
          <w:sz w:val="22"/>
          <w:szCs w:val="22"/>
        </w:rPr>
        <w:t xml:space="preserve">Click "Install Plugin" and wait for installation to complete</w:t>
      </w:r>
    </w:p>
    <w:p>
      <w:pPr>
        <w:pStyle w:val="ListParagraph"/>
        <w:numPr>
          <w:ilvl w:val="0"/>
          <w:numId w:val="3"/>
        </w:numPr>
        <w:spacing w:after="60"/>
      </w:pPr>
      <w:r>
        <w:rPr>
          <w:rFonts w:ascii="Arial" w:cs="Arial" w:eastAsia="Arial" w:hAnsi="Arial"/>
          <w:sz w:val="22"/>
          <w:szCs w:val="22"/>
        </w:rPr>
        <w:t xml:space="preserve">Restart QGIS after installation</w:t>
      </w:r>
    </w:p>
    <w:p>
      <w:pPr>
        <w:pStyle w:val="Heading2"/>
        <w:spacing w:before="280" w:after="160"/>
      </w:pPr>
      <w:r>
        <w:t xml:space="preserve">3.2 Installing EnMap_QGIS_v1_0</w:t>
      </w:r>
    </w:p>
    <w:p>
      <w:pPr>
        <w:pStyle w:val="Heading3"/>
        <w:spacing w:before="200" w:after="120"/>
      </w:pPr>
      <w:r>
        <w:t xml:space="preserve">Method 1: Install from ZIP File</w:t>
      </w:r>
    </w:p>
    <w:p>
      <w:pPr>
        <w:pStyle w:val="ListParagraph"/>
        <w:numPr>
          <w:ilvl w:val="0"/>
          <w:numId w:val="4"/>
        </w:numPr>
        <w:spacing w:after="60"/>
      </w:pPr>
      <w:r>
        <w:rPr>
          <w:rFonts w:ascii="Arial" w:cs="Arial" w:eastAsia="Arial" w:hAnsi="Arial"/>
          <w:sz w:val="22"/>
          <w:szCs w:val="22"/>
        </w:rPr>
        <w:t xml:space="preserve">Download the EnMap_QGIS_v1_0.zip file</w:t>
      </w:r>
    </w:p>
    <w:p>
      <w:pPr>
        <w:pStyle w:val="ListParagraph"/>
        <w:numPr>
          <w:ilvl w:val="0"/>
          <w:numId w:val="4"/>
        </w:numPr>
        <w:spacing w:after="60"/>
      </w:pPr>
      <w:r>
        <w:rPr>
          <w:rFonts w:ascii="Arial" w:cs="Arial" w:eastAsia="Arial" w:hAnsi="Arial"/>
          <w:sz w:val="22"/>
          <w:szCs w:val="22"/>
        </w:rPr>
        <w:t xml:space="preserve">In QGIS, go to Plugins &gt; Manage and Install Plugins</w:t>
      </w:r>
    </w:p>
    <w:p>
      <w:pPr>
        <w:pStyle w:val="ListParagraph"/>
        <w:numPr>
          <w:ilvl w:val="0"/>
          <w:numId w:val="4"/>
        </w:numPr>
        <w:spacing w:after="60"/>
      </w:pPr>
      <w:r>
        <w:rPr>
          <w:rFonts w:ascii="Arial" w:cs="Arial" w:eastAsia="Arial" w:hAnsi="Arial"/>
          <w:sz w:val="22"/>
          <w:szCs w:val="22"/>
        </w:rPr>
        <w:t xml:space="preserve">Click "Install from ZIP"</w:t>
      </w:r>
    </w:p>
    <w:p>
      <w:pPr>
        <w:pStyle w:val="ListParagraph"/>
        <w:numPr>
          <w:ilvl w:val="0"/>
          <w:numId w:val="4"/>
        </w:numPr>
        <w:spacing w:after="60"/>
      </w:pPr>
      <w:r>
        <w:rPr>
          <w:rFonts w:ascii="Arial" w:cs="Arial" w:eastAsia="Arial" w:hAnsi="Arial"/>
          <w:sz w:val="22"/>
          <w:szCs w:val="22"/>
        </w:rPr>
        <w:t xml:space="preserve">Browse to and select the downloaded ZIP file</w:t>
      </w:r>
    </w:p>
    <w:p>
      <w:pPr>
        <w:pStyle w:val="ListParagraph"/>
        <w:numPr>
          <w:ilvl w:val="0"/>
          <w:numId w:val="4"/>
        </w:numPr>
        <w:spacing w:after="60"/>
      </w:pPr>
      <w:r>
        <w:rPr>
          <w:rFonts w:ascii="Arial" w:cs="Arial" w:eastAsia="Arial" w:hAnsi="Arial"/>
          <w:sz w:val="22"/>
          <w:szCs w:val="22"/>
        </w:rPr>
        <w:t xml:space="preserve">Click "Install Plugin"</w:t>
      </w:r>
    </w:p>
    <w:p>
      <w:pPr>
        <w:pStyle w:val="Heading3"/>
        <w:spacing w:before="200" w:after="120"/>
      </w:pPr>
      <w:r>
        <w:t xml:space="preserve">Method 2: Manual Installation</w:t>
      </w:r>
    </w:p>
    <w:p>
      <w:pPr>
        <w:spacing w:after="120"/>
      </w:pPr>
      <w:r>
        <w:rPr>
          <w:rFonts w:ascii="Arial" w:cs="Arial" w:eastAsia="Arial" w:hAnsi="Arial"/>
          <w:sz w:val="22"/>
          <w:szCs w:val="22"/>
        </w:rPr>
        <w:t xml:space="preserve">Copy the EnMap_QGIS_v1_0 folder to your QGIS plugins directory:</w:t>
      </w:r>
    </w:p>
    <w:p>
      <w:pPr>
        <w:spacing w:after="120"/>
      </w:pPr>
      <w:r>
        <w:rPr>
          <w:rFonts w:ascii="Arial" w:cs="Arial" w:eastAsia="Arial" w:hAnsi="Arial"/>
          <w:b/>
          <w:bCs/>
          <w:sz w:val="22"/>
          <w:szCs w:val="22"/>
        </w:rPr>
        <w:t xml:space="preserve">Windows: </w:t>
      </w:r>
      <w:r>
        <w:rPr>
          <w:rFonts w:ascii="Arial" w:cs="Arial" w:eastAsia="Arial" w:hAnsi="Arial"/>
          <w:sz w:val="22"/>
          <w:szCs w:val="22"/>
        </w:rPr>
        <w:t xml:space="preserve">C:\Users\&lt;username&gt;\AppData\Roaming\QGIS\QGIS3\profiles\default\python\plugins\</w:t>
      </w:r>
    </w:p>
    <w:p>
      <w:pPr>
        <w:spacing w:after="120"/>
      </w:pPr>
      <w:r>
        <w:rPr>
          <w:rFonts w:ascii="Arial" w:cs="Arial" w:eastAsia="Arial" w:hAnsi="Arial"/>
          <w:b/>
          <w:bCs/>
          <w:sz w:val="22"/>
          <w:szCs w:val="22"/>
        </w:rPr>
        <w:t xml:space="preserve">macOS: </w:t>
      </w:r>
      <w:r>
        <w:rPr>
          <w:rFonts w:ascii="Arial" w:cs="Arial" w:eastAsia="Arial" w:hAnsi="Arial"/>
          <w:sz w:val="22"/>
          <w:szCs w:val="22"/>
        </w:rPr>
        <w:t xml:space="preserve">~/Library/Application Support/QGIS/QGIS3/profiles/default/python/plugins/</w:t>
      </w:r>
    </w:p>
    <w:p>
      <w:pPr>
        <w:spacing w:after="120"/>
      </w:pPr>
      <w:r>
        <w:rPr>
          <w:rFonts w:ascii="Arial" w:cs="Arial" w:eastAsia="Arial" w:hAnsi="Arial"/>
          <w:b/>
          <w:bCs/>
          <w:sz w:val="22"/>
          <w:szCs w:val="22"/>
        </w:rPr>
        <w:t xml:space="preserve">Linux: </w:t>
      </w:r>
      <w:r>
        <w:rPr>
          <w:rFonts w:ascii="Arial" w:cs="Arial" w:eastAsia="Arial" w:hAnsi="Arial"/>
          <w:sz w:val="22"/>
          <w:szCs w:val="22"/>
        </w:rPr>
        <w:t xml:space="preserve">~/.local/share/QGIS/QGIS3/profiles/default/python/plugins/</w:t>
      </w:r>
    </w:p>
    <w:p>
      <w:pPr>
        <w:spacing w:after="60"/>
      </w:pPr>
    </w:p>
    <w:p>
      <w:pPr>
        <w:spacing w:after="120"/>
      </w:pPr>
      <w:r>
        <w:rPr>
          <w:rFonts w:ascii="Arial" w:cs="Arial" w:eastAsia="Arial" w:hAnsi="Arial"/>
          <w:sz w:val="22"/>
          <w:szCs w:val="22"/>
        </w:rPr>
        <w:t xml:space="preserve">After copying the folder, open QGIS, go to Plugins &gt; Manage and Install Plugins, find "EnMAP Processor" in the list, and enable it by ticking the checkbox.</w:t>
      </w:r>
    </w:p>
    <w:p>
      <w:pPr>
        <w:pStyle w:val="Heading2"/>
        <w:spacing w:before="280" w:after="160"/>
      </w:pPr>
      <w:r>
        <w:t xml:space="preserve">3.3 Verifying Installation</w:t>
      </w:r>
    </w:p>
    <w:p>
      <w:pPr>
        <w:spacing w:after="120"/>
      </w:pPr>
      <w:r>
        <w:rPr>
          <w:rFonts w:ascii="Arial" w:cs="Arial" w:eastAsia="Arial" w:hAnsi="Arial"/>
          <w:sz w:val="22"/>
          <w:szCs w:val="22"/>
        </w:rPr>
        <w:t xml:space="preserve">To confirm the plugin is installed correctly:</w:t>
      </w:r>
    </w:p>
    <w:p>
      <w:pPr>
        <w:pStyle w:val="ListParagraph"/>
        <w:numPr>
          <w:ilvl w:val="0"/>
          <w:numId w:val="5"/>
        </w:numPr>
        <w:spacing w:after="60"/>
      </w:pPr>
      <w:r>
        <w:rPr>
          <w:rFonts w:ascii="Arial" w:cs="Arial" w:eastAsia="Arial" w:hAnsi="Arial"/>
          <w:sz w:val="22"/>
          <w:szCs w:val="22"/>
        </w:rPr>
        <w:t xml:space="preserve">Open QGIS</w:t>
      </w:r>
    </w:p>
    <w:p>
      <w:pPr>
        <w:pStyle w:val="ListParagraph"/>
        <w:numPr>
          <w:ilvl w:val="0"/>
          <w:numId w:val="5"/>
        </w:numPr>
        <w:spacing w:after="60"/>
      </w:pPr>
      <w:r>
        <w:rPr>
          <w:rFonts w:ascii="Arial" w:cs="Arial" w:eastAsia="Arial" w:hAnsi="Arial"/>
          <w:sz w:val="22"/>
          <w:szCs w:val="22"/>
        </w:rPr>
        <w:t xml:space="preserve">Open the Processing Toolbox via Processing &gt; Toolbox</w:t>
      </w:r>
    </w:p>
    <w:p>
      <w:pPr>
        <w:pStyle w:val="ListParagraph"/>
        <w:numPr>
          <w:ilvl w:val="0"/>
          <w:numId w:val="5"/>
        </w:numPr>
        <w:spacing w:after="60"/>
      </w:pPr>
      <w:r>
        <w:rPr>
          <w:rFonts w:ascii="Arial" w:cs="Arial" w:eastAsia="Arial" w:hAnsi="Arial"/>
          <w:sz w:val="22"/>
          <w:szCs w:val="22"/>
        </w:rPr>
        <w:t xml:space="preserve">Search for "EnMAP" in the search bar</w:t>
      </w:r>
    </w:p>
    <w:p>
      <w:pPr>
        <w:pStyle w:val="ListParagraph"/>
        <w:numPr>
          <w:ilvl w:val="0"/>
          <w:numId w:val="5"/>
        </w:numPr>
        <w:spacing w:after="60"/>
      </w:pPr>
      <w:r>
        <w:rPr>
          <w:rFonts w:ascii="Arial" w:cs="Arial" w:eastAsia="Arial" w:hAnsi="Arial"/>
          <w:sz w:val="22"/>
          <w:szCs w:val="22"/>
        </w:rPr>
        <w:t xml:space="preserve">You should see "EnMAP Spectral Indices Processor (Full)" listed under the "Remote Sensing" group</w:t>
      </w:r>
    </w:p>
    <w:p>
      <w:pPr>
        <w:spacing w:after="60"/>
      </w:pPr>
    </w:p>
    <w:p>
      <w:pPr>
        <w:spacing w:after="120"/>
      </w:pPr>
      <w:r>
        <w:rPr>
          <w:rFonts w:ascii="Arial" w:cs="Arial" w:eastAsia="Arial" w:hAnsi="Arial"/>
          <w:sz w:val="22"/>
          <w:szCs w:val="22"/>
        </w:rPr>
        <w:t xml:space="preserve">You should also see the EnMAP Processor icon in the toolbar and a menu entry under Raster &gt; EnMAP Processor.</w:t>
      </w:r>
    </w:p>
    <w:p>
      <w:r>
        <w:br w:type="page"/>
      </w:r>
    </w:p>
    <w:p>
      <w:pPr>
        <w:pStyle w:val="Heading1"/>
        <w:spacing w:before="360" w:after="200"/>
      </w:pPr>
      <w:r>
        <w:t xml:space="preserve">4. Processing Workflow</w:t>
      </w:r>
    </w:p>
    <w:p>
      <w:pPr>
        <w:pStyle w:val="Heading2"/>
        <w:spacing w:before="280" w:after="160"/>
      </w:pPr>
      <w:r>
        <w:t xml:space="preserve">4.1 Preparing Your Data</w:t>
      </w:r>
    </w:p>
    <w:p>
      <w:pPr>
        <w:spacing w:after="120"/>
      </w:pPr>
      <w:r>
        <w:rPr>
          <w:rFonts w:ascii="Arial" w:cs="Arial" w:eastAsia="Arial" w:hAnsi="Arial"/>
          <w:sz w:val="22"/>
          <w:szCs w:val="22"/>
        </w:rPr>
        <w:t xml:space="preserve">Before running the plugin, ensure your EnMAP data is organised in a single directory. A typical EnMAP L2A data product folder contains the following files:</w:t>
      </w:r>
    </w:p>
    <w:p>
      <w:pPr>
        <w:pStyle w:val="ListParagraph"/>
        <w:numPr>
          <w:ilvl w:val="0"/>
          <w:numId w:val="2"/>
        </w:numPr>
        <w:spacing w:after="60"/>
      </w:pPr>
      <w:r>
        <w:rPr>
          <w:rFonts w:ascii="Arial" w:cs="Arial" w:eastAsia="Arial" w:hAnsi="Arial"/>
          <w:sz w:val="22"/>
          <w:szCs w:val="22"/>
        </w:rPr>
        <w:t xml:space="preserve">ENMAP01-...-METADATA.XML (the metadata file you will select)</w:t>
      </w:r>
    </w:p>
    <w:p>
      <w:pPr>
        <w:pStyle w:val="ListParagraph"/>
        <w:numPr>
          <w:ilvl w:val="0"/>
          <w:numId w:val="2"/>
        </w:numPr>
        <w:spacing w:after="60"/>
      </w:pPr>
      <w:r>
        <w:rPr>
          <w:rFonts w:ascii="Arial" w:cs="Arial" w:eastAsia="Arial" w:hAnsi="Arial"/>
          <w:sz w:val="22"/>
          <w:szCs w:val="22"/>
        </w:rPr>
        <w:t xml:space="preserve">ENMAP01-...-SPECTRAL_IMAGE.TIF (the hyperspectral image data)</w:t>
      </w:r>
    </w:p>
    <w:p>
      <w:pPr>
        <w:pStyle w:val="ListParagraph"/>
        <w:numPr>
          <w:ilvl w:val="0"/>
          <w:numId w:val="2"/>
        </w:numPr>
        <w:spacing w:after="60"/>
      </w:pPr>
      <w:r>
        <w:rPr>
          <w:rFonts w:ascii="Arial" w:cs="Arial" w:eastAsia="Arial" w:hAnsi="Arial"/>
          <w:sz w:val="22"/>
          <w:szCs w:val="22"/>
        </w:rPr>
        <w:t xml:space="preserve">ENMAP01-...-QL_PIXELMASK.TIF (quality layer)</w:t>
      </w:r>
    </w:p>
    <w:p>
      <w:pPr>
        <w:pStyle w:val="ListParagraph"/>
        <w:numPr>
          <w:ilvl w:val="0"/>
          <w:numId w:val="2"/>
        </w:numPr>
        <w:spacing w:after="60"/>
      </w:pPr>
      <w:r>
        <w:rPr>
          <w:rFonts w:ascii="Arial" w:cs="Arial" w:eastAsia="Arial" w:hAnsi="Arial"/>
          <w:sz w:val="22"/>
          <w:szCs w:val="22"/>
        </w:rPr>
        <w:t xml:space="preserve">Additional ancillary files</w:t>
      </w:r>
    </w:p>
    <w:p>
      <w:pPr>
        <w:spacing w:after="60"/>
      </w:pPr>
    </w:p>
    <w:p>
      <w:pPr>
        <w:spacing w:after="120"/>
        <w:ind w:left="360"/>
      </w:pPr>
      <w:r>
        <w:rPr>
          <w:rFonts w:ascii="Arial" w:cs="Arial" w:eastAsia="Arial" w:hAnsi="Arial"/>
          <w:b/>
          <w:bCs/>
          <w:i/>
          <w:iCs/>
          <w:color w:val="7A5C00"/>
          <w:sz w:val="22"/>
          <w:szCs w:val="22"/>
        </w:rPr>
        <w:t xml:space="preserve">Note: </w:t>
      </w:r>
      <w:r>
        <w:rPr>
          <w:rFonts w:ascii="Arial" w:cs="Arial" w:eastAsia="Arial" w:hAnsi="Arial"/>
          <w:i/>
          <w:iCs/>
          <w:color w:val="7A5C00"/>
          <w:sz w:val="22"/>
          <w:szCs w:val="22"/>
        </w:rPr>
        <w:t xml:space="preserve">You only need to select the XML metadata file. The plugin will automatically locate the associated SPECTRAL_IMAGE.TIF file by parsing the XML.</w:t>
      </w:r>
    </w:p>
    <w:p>
      <w:pPr>
        <w:pStyle w:val="Heading2"/>
        <w:spacing w:before="280" w:after="160"/>
      </w:pPr>
      <w:r>
        <w:t xml:space="preserve">4.2 Accessing the Plugin</w:t>
      </w:r>
    </w:p>
    <w:p>
      <w:pPr>
        <w:spacing w:after="120"/>
      </w:pPr>
      <w:r>
        <w:rPr>
          <w:rFonts w:ascii="Arial" w:cs="Arial" w:eastAsia="Arial" w:hAnsi="Arial"/>
          <w:sz w:val="22"/>
          <w:szCs w:val="22"/>
        </w:rPr>
        <w:t xml:space="preserve">There are three ways to open the processing dialog:</w:t>
      </w:r>
    </w:p>
    <w:p>
      <w:pPr>
        <w:spacing w:after="60"/>
      </w:pPr>
    </w:p>
    <w:p>
      <w:pPr>
        <w:spacing w:after="120"/>
      </w:pPr>
      <w:r>
        <w:rPr>
          <w:rFonts w:ascii="Arial" w:cs="Arial" w:eastAsia="Arial" w:hAnsi="Arial"/>
          <w:b/>
          <w:bCs/>
          <w:sz w:val="22"/>
          <w:szCs w:val="22"/>
        </w:rPr>
        <w:t xml:space="preserve">Method 1 – Raster Menu (Easiest): </w:t>
      </w:r>
      <w:r>
        <w:rPr>
          <w:rFonts w:ascii="Arial" w:cs="Arial" w:eastAsia="Arial" w:hAnsi="Arial"/>
          <w:sz w:val="22"/>
          <w:szCs w:val="22"/>
        </w:rPr>
        <w:t xml:space="preserve">Go to Raster &gt; EnMAP Processor &gt; EnMAP Spectral Indices Processor. The processing dialog will open automatically.</w:t>
      </w:r>
    </w:p>
    <w:p>
      <w:pPr>
        <w:spacing w:after="60"/>
      </w:pPr>
    </w:p>
    <w:p>
      <w:pPr>
        <w:spacing w:after="120"/>
      </w:pPr>
      <w:r>
        <w:rPr>
          <w:rFonts w:ascii="Arial" w:cs="Arial" w:eastAsia="Arial" w:hAnsi="Arial"/>
          <w:b/>
          <w:bCs/>
          <w:sz w:val="22"/>
          <w:szCs w:val="22"/>
        </w:rPr>
        <w:t xml:space="preserve">Method 2 – Toolbar Button: </w:t>
      </w:r>
      <w:r>
        <w:rPr>
          <w:rFonts w:ascii="Arial" w:cs="Arial" w:eastAsia="Arial" w:hAnsi="Arial"/>
          <w:sz w:val="22"/>
          <w:szCs w:val="22"/>
        </w:rPr>
        <w:t xml:space="preserve">Click the EnMAP Processor icon in the QGIS toolbar.</w:t>
      </w:r>
    </w:p>
    <w:p>
      <w:pPr>
        <w:spacing w:after="60"/>
      </w:pPr>
    </w:p>
    <w:p>
      <w:pPr>
        <w:spacing w:after="120"/>
      </w:pPr>
      <w:r>
        <w:rPr>
          <w:rFonts w:ascii="Arial" w:cs="Arial" w:eastAsia="Arial" w:hAnsi="Arial"/>
          <w:b/>
          <w:bCs/>
          <w:sz w:val="22"/>
          <w:szCs w:val="22"/>
        </w:rPr>
        <w:t xml:space="preserve">Method 3 – Processing Toolbox: </w:t>
      </w:r>
      <w:r>
        <w:rPr>
          <w:rFonts w:ascii="Arial" w:cs="Arial" w:eastAsia="Arial" w:hAnsi="Arial"/>
          <w:sz w:val="22"/>
          <w:szCs w:val="22"/>
        </w:rPr>
        <w:t xml:space="preserve">Open Processing &gt; Toolbox, navigate to Remote Sensing, and double-click "EnMAP Spectral Indices Processor (Full)".</w:t>
      </w:r>
    </w:p>
    <w:p>
      <w:pPr>
        <w:pStyle w:val="Heading2"/>
        <w:spacing w:before="280" w:after="160"/>
      </w:pPr>
      <w:r>
        <w:t xml:space="preserve">4.3 Configuring Parameters</w:t>
      </w:r>
    </w:p>
    <w:p>
      <w:pPr>
        <w:spacing w:after="120"/>
      </w:pPr>
      <w:r>
        <w:rPr>
          <w:rFonts w:ascii="Arial" w:cs="Arial" w:eastAsia="Arial" w:hAnsi="Arial"/>
          <w:sz w:val="22"/>
          <w:szCs w:val="22"/>
        </w:rPr>
        <w:t xml:space="preserve">The plugin requires three parameters: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2E5E86" w:sz="1"/>
              <w:left w:val="single" w:color="2E5E86" w:sz="1"/>
              <w:bottom w:val="single" w:color="2E5E86" w:sz="1"/>
              <w:right w:val="single" w:color="2E5E86" w:sz="1"/>
            </w:tcBorders>
            <w:shd w:fill="2E5E86"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3300"/>
            <w:tcBorders>
              <w:top w:val="single" w:color="2E5E86" w:sz="1"/>
              <w:left w:val="single" w:color="2E5E86" w:sz="1"/>
              <w:bottom w:val="single" w:color="2E5E86" w:sz="1"/>
              <w:right w:val="single" w:color="2E5E86" w:sz="1"/>
            </w:tcBorders>
            <w:shd w:fill="2E5E8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260"/>
            <w:tcBorders>
              <w:top w:val="single" w:color="2E5E86" w:sz="1"/>
              <w:left w:val="single" w:color="2E5E86" w:sz="1"/>
              <w:bottom w:val="single" w:color="2E5E86" w:sz="1"/>
              <w:right w:val="single" w:color="2E5E86" w:sz="1"/>
            </w:tcBorders>
            <w:shd w:fill="2E5E86"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EnMAP L2A Metadata XML File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 XML metadata file from your EnMAP data product</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ENMAP01-...-METADATA.XML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Output Directory</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Folder where all output GeoTIFF files will be saved</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/outputs/enmap_scene_001/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Output File Prefix</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 text prefix added to all output filenames (default: "EnMAP")</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Laverton_20240206</w:t>
            </w:r>
          </w:p>
        </w:tc>
      </w:tr>
    </w:tbl>
    <w:p>
      <w:pPr>
        <w:spacing w:after="60"/>
      </w:pPr>
    </w:p>
    <w:p>
      <w:pPr>
        <w:spacing w:after="120"/>
        <w:ind w:left="360"/>
      </w:pPr>
      <w:r>
        <w:rPr>
          <w:rFonts w:ascii="Arial" w:cs="Arial" w:eastAsia="Arial" w:hAnsi="Arial"/>
          <w:b/>
          <w:bCs/>
          <w:i/>
          <w:iCs/>
          <w:color w:val="2E5E86"/>
          <w:sz w:val="22"/>
          <w:szCs w:val="22"/>
        </w:rPr>
        <w:t xml:space="preserve">Tip: </w:t>
      </w:r>
      <w:r>
        <w:rPr>
          <w:rFonts w:ascii="Arial" w:cs="Arial" w:eastAsia="Arial" w:hAnsi="Arial"/>
          <w:i/>
          <w:iCs/>
          <w:color w:val="2E5E86"/>
          <w:sz w:val="22"/>
          <w:szCs w:val="22"/>
        </w:rPr>
        <w:t xml:space="preserve">Use a descriptive prefix that includes the location name and acquisition date, for example "Laverton_20240206". This makes it easy to identify outputs from different scenes.</w:t>
      </w:r>
    </w:p>
    <w:p>
      <w:pPr>
        <w:spacing w:after="120"/>
        <w:ind w:left="360"/>
      </w:pPr>
      <w:r>
        <w:rPr>
          <w:rFonts w:ascii="Arial" w:cs="Arial" w:eastAsia="Arial" w:hAnsi="Arial"/>
          <w:b/>
          <w:bCs/>
          <w:i/>
          <w:iCs/>
          <w:color w:val="2E5E86"/>
          <w:sz w:val="22"/>
          <w:szCs w:val="22"/>
        </w:rPr>
        <w:t xml:space="preserve">Tip: </w:t>
      </w:r>
      <w:r>
        <w:rPr>
          <w:rFonts w:ascii="Arial" w:cs="Arial" w:eastAsia="Arial" w:hAnsi="Arial"/>
          <w:i/>
          <w:iCs/>
          <w:color w:val="2E5E86"/>
          <w:sz w:val="22"/>
          <w:szCs w:val="22"/>
        </w:rPr>
        <w:t xml:space="preserve">Create a dedicated output folder for each scene to keep your results organised.</w:t>
      </w:r>
    </w:p>
    <w:p>
      <w:pPr>
        <w:pStyle w:val="Heading2"/>
        <w:spacing w:before="280" w:after="160"/>
      </w:pPr>
      <w:r>
        <w:t xml:space="preserve">4.4 Running the Algorithm</w:t>
      </w:r>
    </w:p>
    <w:p>
      <w:pPr>
        <w:pStyle w:val="ListParagraph"/>
        <w:numPr>
          <w:ilvl w:val="0"/>
          <w:numId w:val="6"/>
        </w:numPr>
        <w:spacing w:after="60"/>
      </w:pPr>
      <w:r>
        <w:rPr>
          <w:rFonts w:ascii="Arial" w:cs="Arial" w:eastAsia="Arial" w:hAnsi="Arial"/>
          <w:sz w:val="22"/>
          <w:szCs w:val="22"/>
        </w:rPr>
        <w:t xml:space="preserve">Click "Run" to start processing</w:t>
      </w:r>
    </w:p>
    <w:p>
      <w:pPr>
        <w:pStyle w:val="ListParagraph"/>
        <w:numPr>
          <w:ilvl w:val="0"/>
          <w:numId w:val="6"/>
        </w:numPr>
        <w:spacing w:after="60"/>
      </w:pPr>
      <w:r>
        <w:rPr>
          <w:rFonts w:ascii="Arial" w:cs="Arial" w:eastAsia="Arial" w:hAnsi="Arial"/>
          <w:sz w:val="22"/>
          <w:szCs w:val="22"/>
        </w:rPr>
        <w:t xml:space="preserve">Monitor progress in the log panel at the bottom of the dialog</w:t>
      </w:r>
    </w:p>
    <w:p>
      <w:pPr>
        <w:pStyle w:val="ListParagraph"/>
        <w:numPr>
          <w:ilvl w:val="0"/>
          <w:numId w:val="6"/>
        </w:numPr>
        <w:spacing w:after="60"/>
      </w:pPr>
      <w:r>
        <w:rPr>
          <w:rFonts w:ascii="Arial" w:cs="Arial" w:eastAsia="Arial" w:hAnsi="Arial"/>
          <w:sz w:val="22"/>
          <w:szCs w:val="22"/>
        </w:rPr>
        <w:t xml:space="preserve">The progress bar shows completion across all 119 processing steps</w:t>
      </w:r>
    </w:p>
    <w:p>
      <w:pPr>
        <w:pStyle w:val="ListParagraph"/>
        <w:numPr>
          <w:ilvl w:val="0"/>
          <w:numId w:val="6"/>
        </w:numPr>
        <w:spacing w:after="60"/>
      </w:pPr>
      <w:r>
        <w:rPr>
          <w:rFonts w:ascii="Arial" w:cs="Arial" w:eastAsia="Arial" w:hAnsi="Arial"/>
          <w:sz w:val="22"/>
          <w:szCs w:val="22"/>
        </w:rPr>
        <w:t xml:space="preserve">Processing can be cancelled at any step by clicking the Cancel button</w:t>
      </w:r>
    </w:p>
    <w:p>
      <w:pPr>
        <w:spacing w:after="60"/>
      </w:pPr>
    </w:p>
    <w:p>
      <w:pPr>
        <w:spacing w:after="120"/>
      </w:pPr>
      <w:r>
        <w:rPr>
          <w:rFonts w:ascii="Arial" w:cs="Arial" w:eastAsia="Arial" w:hAnsi="Arial"/>
          <w:sz w:val="22"/>
          <w:szCs w:val="22"/>
        </w:rPr>
        <w:t xml:space="preserve">The log panel displays detailed information about each step, including the current step number, the operation being performed, and band count information during the import phase.</w:t>
      </w:r>
    </w:p>
    <w:p>
      <w:pPr>
        <w:pStyle w:val="Heading2"/>
        <w:spacing w:before="280" w:after="160"/>
      </w:pPr>
      <w:r>
        <w:t xml:space="preserve">4.5 Processing Time</w:t>
      </w:r>
    </w:p>
    <w:p>
      <w:pPr>
        <w:spacing w:after="120"/>
      </w:pPr>
      <w:r>
        <w:rPr>
          <w:rFonts w:ascii="Arial" w:cs="Arial" w:eastAsia="Arial" w:hAnsi="Arial"/>
          <w:sz w:val="22"/>
          <w:szCs w:val="22"/>
        </w:rPr>
        <w:t xml:space="preserve">Processing time depends on scene size and computer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E86" w:sz="1"/>
              <w:left w:val="single" w:color="2E5E86" w:sz="1"/>
              <w:bottom w:val="single" w:color="2E5E86" w:sz="1"/>
              <w:right w:val="single" w:color="2E5E86" w:sz="1"/>
            </w:tcBorders>
            <w:shd w:fill="2E5E86" w:val="clear"/>
            <w:tcMar>
              <w:top w:type="dxa" w:w="60"/>
              <w:left w:type="dxa" w:w="100"/>
              <w:bottom w:type="dxa" w:w="60"/>
              <w:right w:type="dxa" w:w="100"/>
            </w:tcMar>
          </w:tcPr>
          <w:p>
            <w:r>
              <w:rPr>
                <w:rFonts w:ascii="Arial" w:cs="Arial" w:eastAsia="Arial" w:hAnsi="Arial"/>
                <w:b/>
                <w:bCs/>
                <w:color w:val="FFFFFF"/>
                <w:sz w:val="20"/>
                <w:szCs w:val="20"/>
              </w:rPr>
              <w:t xml:space="preserve">Scene Size</w:t>
            </w:r>
          </w:p>
        </w:tc>
        <w:tc>
          <w:tcPr>
            <w:tcW w:type="dxa" w:w="4680"/>
            <w:tcBorders>
              <w:top w:val="single" w:color="2E5E86" w:sz="1"/>
              <w:left w:val="single" w:color="2E5E86" w:sz="1"/>
              <w:bottom w:val="single" w:color="2E5E86" w:sz="1"/>
              <w:right w:val="single" w:color="2E5E86" w:sz="1"/>
            </w:tcBorders>
            <w:shd w:fill="2E5E86" w:val="clear"/>
            <w:tcMar>
              <w:top w:type="dxa" w:w="60"/>
              <w:left w:type="dxa" w:w="100"/>
              <w:bottom w:type="dxa" w:w="60"/>
              <w:right w:type="dxa" w:w="100"/>
            </w:tcMar>
          </w:tcPr>
          <w:p>
            <w:r>
              <w:rPr>
                <w:rFonts w:ascii="Arial" w:cs="Arial" w:eastAsia="Arial" w:hAnsi="Arial"/>
                <w:b/>
                <w:bCs/>
                <w:color w:val="FFFFFF"/>
                <w:sz w:val="20"/>
                <w:szCs w:val="20"/>
              </w:rPr>
              <w:t xml:space="preserve">Approximate Time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Small (&lt; 100 km²)</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10–15 minutes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(100–500 km²)</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15–25 minutes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Large (&gt; 500 km²)</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25–45 minutes</w:t>
            </w:r>
          </w:p>
        </w:tc>
      </w:tr>
    </w:tbl>
    <w:p>
      <w:r>
        <w:br w:type="page"/>
      </w:r>
    </w:p>
    <w:p>
      <w:pPr>
        <w:pStyle w:val="Heading1"/>
        <w:spacing w:before="360" w:after="200"/>
      </w:pPr>
      <w:r>
        <w:t xml:space="preserve">5. Output Products</w:t>
      </w:r>
    </w:p>
    <w:p>
      <w:pPr>
        <w:pStyle w:val="Heading2"/>
        <w:spacing w:before="280" w:after="160"/>
      </w:pPr>
      <w:r>
        <w:t xml:space="preserve">5.1 Overview</w:t>
      </w:r>
    </w:p>
    <w:p>
      <w:pPr>
        <w:spacing w:after="120"/>
      </w:pPr>
      <w:r>
        <w:rPr>
          <w:rFonts w:ascii="Arial" w:cs="Arial" w:eastAsia="Arial" w:hAnsi="Arial"/>
          <w:sz w:val="22"/>
          <w:szCs w:val="22"/>
        </w:rPr>
        <w:t xml:space="preserve">The plugin generates 26 output GeoTIFF files comprising spectral indices and RGB composite images. All files are saved with the naming convention {prefix}_{index_name}.tif, where the prefix is the value you entered in the Output File Prefix parameter.</w:t>
      </w:r>
    </w:p>
    <w:p>
      <w:pPr>
        <w:spacing w:after="120"/>
      </w:pPr>
      <w:r>
        <w:rPr>
          <w:rFonts w:ascii="Arial" w:cs="Arial" w:eastAsia="Arial" w:hAnsi="Arial"/>
          <w:sz w:val="22"/>
          <w:szCs w:val="22"/>
        </w:rPr>
        <w:t xml:space="preserve">All output files are automatically loaded into the current QGIS project with descriptive layer names.</w:t>
      </w:r>
    </w:p>
    <w:p>
      <w:pPr>
        <w:pStyle w:val="Heading2"/>
        <w:spacing w:before="280" w:after="160"/>
      </w:pPr>
      <w:r>
        <w:t xml:space="preserve">5.2 Output File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E86" w:sz="1"/>
              <w:left w:val="single" w:color="2E5E86" w:sz="1"/>
              <w:bottom w:val="single" w:color="2E5E86" w:sz="1"/>
              <w:right w:val="single" w:color="2E5E86" w:sz="1"/>
            </w:tcBorders>
            <w:shd w:fill="2E5E86"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4680"/>
            <w:tcBorders>
              <w:top w:val="single" w:color="2E5E86" w:sz="1"/>
              <w:left w:val="single" w:color="2E5E86" w:sz="1"/>
              <w:bottom w:val="single" w:color="2E5E86" w:sz="1"/>
              <w:right w:val="single" w:color="2E5E86" w:sz="1"/>
            </w:tcBorders>
            <w:shd w:fill="2E5E86"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Format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GeoTIFF (.tif)</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 Type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Float32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Compression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LZW</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Interleave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Band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Predictor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(horizontal differencing)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BigTIFF</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Enabled</w:t>
            </w:r>
          </w:p>
        </w:tc>
      </w:tr>
    </w:tbl>
    <w:p>
      <w:pPr>
        <w:pStyle w:val="Heading2"/>
        <w:spacing w:before="280" w:after="160"/>
      </w:pPr>
      <w:r>
        <w:t xml:space="preserve">5.3 Complete Output File List</w:t>
      </w:r>
    </w:p>
    <w:p>
      <w:pPr>
        <w:spacing w:after="120"/>
      </w:pPr>
      <w:r>
        <w:rPr>
          <w:rFonts w:ascii="Arial" w:cs="Arial" w:eastAsia="Arial" w:hAnsi="Arial"/>
          <w:sz w:val="22"/>
          <w:szCs w:val="22"/>
        </w:rPr>
        <w:t xml:space="preserve">The following table lists all 26 output files, their corresponding layer names when loaded into QGIS, and a brief description of each product.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2E5E86" w:sz="1"/>
              <w:left w:val="single" w:color="2E5E86" w:sz="1"/>
              <w:bottom w:val="single" w:color="2E5E86" w:sz="1"/>
              <w:right w:val="single" w:color="2E5E86" w:sz="1"/>
            </w:tcBorders>
            <w:shd w:fill="2E5E86" w:val="clear"/>
            <w:tcMar>
              <w:top w:type="dxa" w:w="60"/>
              <w:left w:type="dxa" w:w="100"/>
              <w:bottom w:type="dxa" w:w="60"/>
              <w:right w:type="dxa" w:w="100"/>
            </w:tcMar>
          </w:tcPr>
          <w:p>
            <w:r>
              <w:rPr>
                <w:rFonts w:ascii="Arial" w:cs="Arial" w:eastAsia="Arial" w:hAnsi="Arial"/>
                <w:b/>
                <w:bCs/>
                <w:color w:val="FFFFFF"/>
                <w:sz w:val="20"/>
                <w:szCs w:val="20"/>
              </w:rPr>
              <w:t xml:space="preserve">Output File Suffix</w:t>
            </w:r>
          </w:p>
        </w:tc>
        <w:tc>
          <w:tcPr>
            <w:tcW w:type="dxa" w:w="3300"/>
            <w:tcBorders>
              <w:top w:val="single" w:color="2E5E86" w:sz="1"/>
              <w:left w:val="single" w:color="2E5E86" w:sz="1"/>
              <w:bottom w:val="single" w:color="2E5E86" w:sz="1"/>
              <w:right w:val="single" w:color="2E5E86" w:sz="1"/>
            </w:tcBorders>
            <w:shd w:fill="2E5E86" w:val="clear"/>
            <w:tcMar>
              <w:top w:type="dxa" w:w="60"/>
              <w:left w:type="dxa" w:w="100"/>
              <w:bottom w:type="dxa" w:w="60"/>
              <w:right w:type="dxa" w:w="100"/>
            </w:tcMar>
          </w:tcPr>
          <w:p>
            <w:r>
              <w:rPr>
                <w:rFonts w:ascii="Arial" w:cs="Arial" w:eastAsia="Arial" w:hAnsi="Arial"/>
                <w:b/>
                <w:bCs/>
                <w:color w:val="FFFFFF"/>
                <w:sz w:val="20"/>
                <w:szCs w:val="20"/>
              </w:rPr>
              <w:t xml:space="preserve">QGIS Layer Name</w:t>
            </w:r>
          </w:p>
        </w:tc>
        <w:tc>
          <w:tcPr>
            <w:tcW w:type="dxa" w:w="3260"/>
            <w:tcBorders>
              <w:top w:val="single" w:color="2E5E86" w:sz="1"/>
              <w:left w:val="single" w:color="2E5E86" w:sz="1"/>
              <w:bottom w:val="single" w:color="2E5E86" w:sz="1"/>
              <w:right w:val="single" w:color="2E5E86" w:sz="1"/>
            </w:tcBorders>
            <w:shd w:fill="2E5E8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_AluniteCom_1480W</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AluniteComp_1480W</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Alunite composition ratio at 1480 nm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_AluniteIndex</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ENVI_Alunite_Index</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Alunite mineral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_AluniteAbund_1760D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AluniteAbundance_1480D</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Alunite abundance depth at 1760 nm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_AluniteJarosite_1480D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Alunite-Jarosite_Abund_1480D</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Alunite-jarosite abundance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_ASA2200D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ASA_2200D</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Advanced Spectral Analysis at 2200 nm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_ASA_composition_2200W</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2200W_ASA_comp</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ASA composition at 2200 nm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_Chl-EpiditeAbund_2250D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2250D_Chl-Ep_Abund</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Chlorite-epidote abundance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_Dolomitisation_2320D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Dolomitisation_1_2320D</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Dolomitisation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_FerricIronAltnIndex</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ENVI_Ferric Iron Altn Index</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Ferric iron alteration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_FerrousIronIndex</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ENVI_Ferrous Iron Index</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Ferrous iron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_FerrousSilicatesIndex</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ENVI_Ferrous Silicates Index</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Ferrous silicates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_Kaol-Alunite-Pyroph_2160W</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Kaolinite-alunite-pyrophyllite_2160W</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Kaol-alunite-pyrophyllite composition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_KaoliniteGpAbund_2160D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KaolinGp_Abund_2160D</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Kaolinite group abundance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_KaoliniteXL</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ENVI_KaolinXL</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Kaolinite crystallinity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_MgOHCarbIndex</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ENVI_MgOH Carb Abundance Index</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MgOH-carbonate abundance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_MuscoviteIndex</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ENVI_Muscovite Index</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Muscovite composition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_PhengiticIndex</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ENVI_Phengitic Index</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Phengitic white mica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_PhylliticAltnIndex</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ENVI_Phyllic_Altn Index</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Phyllitic alteration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_PropyliticAltnIndex</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ENVI_Propylitic_Altn Index</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Propylitic alteration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_SWIR_mafic</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ENVI_SWIR-active_mafic_mins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SWIR-active mafic minerals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_900D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900D</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900 nm absorption depth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_900W</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900W</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900 nm absorption wavelength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_Geology</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RGB_Geology</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RGB geology composite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_Ag2</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RGB_Ag2</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RGB agriculture composite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_NatCol</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RGB_Nat_Col</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RGB natural colour composite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_FeSil-FeAlt-MgOH</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RGB_FeSil-FeIrAltn-MgOHCarb</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RGB alteration composite</w:t>
            </w:r>
          </w:p>
        </w:tc>
      </w:tr>
    </w:tbl>
    <w:p>
      <w:r>
        <w:br w:type="page"/>
      </w:r>
    </w:p>
    <w:p>
      <w:pPr>
        <w:pStyle w:val="Heading1"/>
        <w:spacing w:before="360" w:after="200"/>
      </w:pPr>
      <w:r>
        <w:t xml:space="preserve">6. Spectral Index Descriptions</w:t>
      </w:r>
    </w:p>
    <w:p>
      <w:pPr>
        <w:pStyle w:val="Heading2"/>
        <w:spacing w:before="280" w:after="160"/>
      </w:pPr>
      <w:r>
        <w:t xml:space="preserve">6.1 Mineral Identification Indices</w:t>
      </w:r>
    </w:p>
    <w:p>
      <w:pPr>
        <w:pStyle w:val="Heading3"/>
        <w:spacing w:before="200" w:after="120"/>
      </w:pPr>
      <w:r>
        <w:t xml:space="preserve">Alunite Index</w:t>
      </w:r>
    </w:p>
    <w:p>
      <w:pPr>
        <w:spacing w:after="120"/>
      </w:pPr>
      <w:r>
        <w:rPr>
          <w:rFonts w:ascii="Arial" w:cs="Arial" w:eastAsia="Arial" w:hAnsi="Arial"/>
          <w:sz w:val="22"/>
          <w:szCs w:val="22"/>
        </w:rPr>
        <w:t xml:space="preserve">Identifies the presence of alunite, a hydrated aluminium potassium sulphate mineral commonly associated with advanced argillic hydrothermal alteration systems. Higher values indicate greater alunite content.</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advanced argillic alteration zones in epithermal and porphyry systems.</w:t>
      </w:r>
    </w:p>
    <w:p>
      <w:pPr>
        <w:pStyle w:val="Heading3"/>
        <w:spacing w:before="200" w:after="120"/>
      </w:pPr>
      <w:r>
        <w:t xml:space="preserve">Alunite Composition (1480W)</w:t>
      </w:r>
    </w:p>
    <w:p>
      <w:pPr>
        <w:spacing w:after="120"/>
      </w:pPr>
      <w:r>
        <w:rPr>
          <w:rFonts w:ascii="Arial" w:cs="Arial" w:eastAsia="Arial" w:hAnsi="Arial"/>
          <w:sz w:val="22"/>
          <w:szCs w:val="22"/>
        </w:rPr>
        <w:t xml:space="preserve">A band ratio using bands near 1480 nm that discriminates between different alunite compositions. The ratio (Band 74 / Band 76) exploits subtle spectral variations in the 1480 nm absorption feature related to compositional differences.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Distinguishing Na-alunite from K-alunite in hydrothermal systems.</w:t>
      </w:r>
    </w:p>
    <w:p>
      <w:pPr>
        <w:pStyle w:val="Heading3"/>
        <w:spacing w:before="200" w:after="120"/>
      </w:pPr>
      <w:r>
        <w:t xml:space="preserve">Alunite-Jarosite Abundance (1480D)</w:t>
      </w:r>
    </w:p>
    <w:p>
      <w:pPr>
        <w:spacing w:after="120"/>
      </w:pPr>
      <w:r>
        <w:rPr>
          <w:rFonts w:ascii="Arial" w:cs="Arial" w:eastAsia="Arial" w:hAnsi="Arial"/>
          <w:sz w:val="22"/>
          <w:szCs w:val="22"/>
        </w:rPr>
        <w:t xml:space="preserve">Measures the combined abundance of alunite and jarosite minerals, calculated using an averaging approach over the 1480 nm absorption region.</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oxidised and acid-sulphate alteration systems.</w:t>
      </w:r>
    </w:p>
    <w:p>
      <w:pPr>
        <w:pStyle w:val="Heading3"/>
        <w:spacing w:before="200" w:after="120"/>
      </w:pPr>
      <w:r>
        <w:t xml:space="preserve">Kaolinite Crystallinity (KaolinXL)</w:t>
      </w:r>
    </w:p>
    <w:p>
      <w:pPr>
        <w:spacing w:after="120"/>
      </w:pPr>
      <w:r>
        <w:rPr>
          <w:rFonts w:ascii="Arial" w:cs="Arial" w:eastAsia="Arial" w:hAnsi="Arial"/>
          <w:sz w:val="22"/>
          <w:szCs w:val="22"/>
        </w:rPr>
        <w:t xml:space="preserve">Assesses the crystallinity of kaolinite-group minerals through the ratio of Band 188 to Band 194. Higher crystallinity values indicate well-ordered kaolinite, while lower values suggest disordered kaolinite or halloysite.</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hydrothermal alteration intensity and weathering profiles.</w:t>
      </w:r>
    </w:p>
    <w:p>
      <w:pPr>
        <w:pStyle w:val="Heading3"/>
        <w:spacing w:before="200" w:after="120"/>
      </w:pPr>
      <w:r>
        <w:t xml:space="preserve">Kaolinite Group Abundance (2160D)</w:t>
      </w:r>
    </w:p>
    <w:p>
      <w:pPr>
        <w:spacing w:after="120"/>
      </w:pPr>
      <w:r>
        <w:rPr>
          <w:rFonts w:ascii="Arial" w:cs="Arial" w:eastAsia="Arial" w:hAnsi="Arial"/>
          <w:sz w:val="22"/>
          <w:szCs w:val="22"/>
        </w:rPr>
        <w:t xml:space="preserve">Measures the overall abundance of kaolinite-group minerals using the depth of the 2160 nm absorption feature.</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Argillic alteration mapping and regolith characterisation.</w:t>
      </w:r>
    </w:p>
    <w:p>
      <w:pPr>
        <w:pStyle w:val="Heading3"/>
        <w:spacing w:before="200" w:after="120"/>
      </w:pPr>
      <w:r>
        <w:t xml:space="preserve">Kaolinite-Alunite-Pyrophyllite (2160W)</w:t>
      </w:r>
    </w:p>
    <w:p>
      <w:pPr>
        <w:spacing w:after="120"/>
      </w:pPr>
      <w:r>
        <w:rPr>
          <w:rFonts w:ascii="Arial" w:cs="Arial" w:eastAsia="Arial" w:hAnsi="Arial"/>
          <w:sz w:val="22"/>
          <w:szCs w:val="22"/>
        </w:rPr>
        <w:t xml:space="preserve">A compositional index using the wavelength position near 2160 nm to distinguish between kaolinite, alunite, and pyrophyllite. Calculated using an averaging formula over six bands.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Discriminating between clay minerals in advanced argillic alteration.</w:t>
      </w:r>
    </w:p>
    <w:p>
      <w:pPr>
        <w:pStyle w:val="Heading2"/>
        <w:spacing w:before="280" w:after="160"/>
      </w:pPr>
      <w:r>
        <w:t xml:space="preserve">6.2 Alteration Indices</w:t>
      </w:r>
    </w:p>
    <w:p>
      <w:pPr>
        <w:pStyle w:val="Heading3"/>
        <w:spacing w:before="200" w:after="120"/>
      </w:pPr>
      <w:r>
        <w:t xml:space="preserve">Ferric Iron Alteration Index</w:t>
      </w:r>
    </w:p>
    <w:p>
      <w:pPr>
        <w:spacing w:after="120"/>
      </w:pPr>
      <w:r>
        <w:rPr>
          <w:rFonts w:ascii="Arial" w:cs="Arial" w:eastAsia="Arial" w:hAnsi="Arial"/>
          <w:sz w:val="22"/>
          <w:szCs w:val="22"/>
        </w:rPr>
        <w:t xml:space="preserve">Detects the presence of oxidised iron (Fe³⁺) minerals including hematite, goethite, and jarosite. Uses band ratios in the visible to near-infrared region where ferric iron minerals exhibit characteristic absorption features.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weathering zones, gossans, and iron-oxide alteration.</w:t>
      </w:r>
    </w:p>
    <w:p>
      <w:pPr>
        <w:pStyle w:val="Heading3"/>
        <w:spacing w:before="200" w:after="120"/>
      </w:pPr>
      <w:r>
        <w:t xml:space="preserve">Ferrous Iron Index</w:t>
      </w:r>
    </w:p>
    <w:p>
      <w:pPr>
        <w:spacing w:after="120"/>
      </w:pPr>
      <w:r>
        <w:rPr>
          <w:rFonts w:ascii="Arial" w:cs="Arial" w:eastAsia="Arial" w:hAnsi="Arial"/>
          <w:sz w:val="22"/>
          <w:szCs w:val="22"/>
        </w:rPr>
        <w:t xml:space="preserve">Identifies reduced iron (Fe²⁺) minerals including pyroxene, olivine, and Fe-bearing amphiboles. Exploits the broad absorption feature near 1000 nm characteristic of ferrous iron in crystal field transitions.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fresh, unweathered mafic and ultramafic rocks.</w:t>
      </w:r>
    </w:p>
    <w:p>
      <w:pPr>
        <w:pStyle w:val="Heading3"/>
        <w:spacing w:before="200" w:after="120"/>
      </w:pPr>
      <w:r>
        <w:t xml:space="preserve">Ferrous Silicates Index</w:t>
      </w:r>
    </w:p>
    <w:p>
      <w:pPr>
        <w:spacing w:after="120"/>
      </w:pPr>
      <w:r>
        <w:rPr>
          <w:rFonts w:ascii="Arial" w:cs="Arial" w:eastAsia="Arial" w:hAnsi="Arial"/>
          <w:sz w:val="22"/>
          <w:szCs w:val="22"/>
        </w:rPr>
        <w:t xml:space="preserve">Detects iron-bearing silicate minerals including chlorite, biotite, and amphibole. Uses a ratio formula at 900 nm absorption region diagnostic of Fe²⁺ in silicate crystal structures.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Identifying mafic mineral assemblages and propylitic alteration.</w:t>
      </w:r>
    </w:p>
    <w:p>
      <w:pPr>
        <w:pStyle w:val="Heading3"/>
        <w:spacing w:before="200" w:after="120"/>
      </w:pPr>
      <w:r>
        <w:t xml:space="preserve">Propylitic Alteration Index</w:t>
      </w:r>
    </w:p>
    <w:p>
      <w:pPr>
        <w:spacing w:after="120"/>
      </w:pPr>
      <w:r>
        <w:rPr>
          <w:rFonts w:ascii="Arial" w:cs="Arial" w:eastAsia="Arial" w:hAnsi="Arial"/>
          <w:sz w:val="22"/>
          <w:szCs w:val="22"/>
        </w:rPr>
        <w:t xml:space="preserve">Maps propylitic alteration characterised by the assemblage of chlorite, epidote, and carbonate minerals. Uses diagnostic absorption features in the SWIR region.</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Delineating the outer halo of porphyry-style alteration systems.</w:t>
      </w:r>
    </w:p>
    <w:p>
      <w:pPr>
        <w:pStyle w:val="Heading3"/>
        <w:spacing w:before="200" w:after="120"/>
      </w:pPr>
      <w:r>
        <w:t xml:space="preserve">Phengitic Index</w:t>
      </w:r>
    </w:p>
    <w:p>
      <w:pPr>
        <w:spacing w:after="120"/>
      </w:pPr>
      <w:r>
        <w:rPr>
          <w:rFonts w:ascii="Arial" w:cs="Arial" w:eastAsia="Arial" w:hAnsi="Arial"/>
          <w:sz w:val="22"/>
          <w:szCs w:val="22"/>
        </w:rPr>
        <w:t xml:space="preserve">Identifies phengitic white micas, which are white micas with elevated Mg and Fe content relative to muscovite. Phengite forms under specific pressure-temperature conditions and is an indicator of low-grade metamorphism and certain hydrothermal alteration styles.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metamorphic grade variation and phengitic alteration.</w:t>
      </w:r>
    </w:p>
    <w:p>
      <w:pPr>
        <w:pStyle w:val="Heading3"/>
        <w:spacing w:before="200" w:after="120"/>
      </w:pPr>
      <w:r>
        <w:t xml:space="preserve">Phyllitic Alteration Index</w:t>
      </w:r>
    </w:p>
    <w:p>
      <w:pPr>
        <w:spacing w:after="120"/>
      </w:pPr>
      <w:r>
        <w:rPr>
          <w:rFonts w:ascii="Arial" w:cs="Arial" w:eastAsia="Arial" w:hAnsi="Arial"/>
          <w:sz w:val="22"/>
          <w:szCs w:val="22"/>
        </w:rPr>
        <w:t xml:space="preserve">Maps phyllitic alteration characterised by sericite (fine-grained white mica), chlorite, and quartz. This alteration type is commonly developed as an intermediate alteration zone in porphyry systems.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Identifying sericitic/phyllitic alteration shells in porphyry and VMS systems.</w:t>
      </w:r>
    </w:p>
    <w:p>
      <w:pPr>
        <w:pStyle w:val="Heading3"/>
        <w:spacing w:before="200" w:after="120"/>
      </w:pPr>
      <w:r>
        <w:t xml:space="preserve">Muscovite Index</w:t>
      </w:r>
    </w:p>
    <w:p>
      <w:pPr>
        <w:spacing w:after="120"/>
      </w:pPr>
      <w:r>
        <w:rPr>
          <w:rFonts w:ascii="Arial" w:cs="Arial" w:eastAsia="Arial" w:hAnsi="Arial"/>
          <w:sz w:val="22"/>
          <w:szCs w:val="22"/>
        </w:rPr>
        <w:t xml:space="preserve">Detects muscovite-group white micas using diagnostic SWIR absorption features. The ratio distinguishes muscovite from other white mica species based on the Al-OH absorption wavelength position.</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white mica composition and abundance for vectoring towards mineralisation.</w:t>
      </w:r>
    </w:p>
    <w:p>
      <w:pPr>
        <w:pStyle w:val="Heading2"/>
        <w:spacing w:before="280" w:after="160"/>
      </w:pPr>
      <w:r>
        <w:t xml:space="preserve">6.3 Compositional Indices</w:t>
      </w:r>
    </w:p>
    <w:p>
      <w:pPr>
        <w:pStyle w:val="Heading3"/>
        <w:spacing w:before="200" w:after="120"/>
      </w:pPr>
      <w:r>
        <w:t xml:space="preserve">Chlorite-Epidote Abundance (2250D)</w:t>
      </w:r>
    </w:p>
    <w:p>
      <w:pPr>
        <w:spacing w:after="120"/>
      </w:pPr>
      <w:r>
        <w:rPr>
          <w:rFonts w:ascii="Arial" w:cs="Arial" w:eastAsia="Arial" w:hAnsi="Arial"/>
          <w:sz w:val="22"/>
          <w:szCs w:val="22"/>
        </w:rPr>
        <w:t xml:space="preserve">Quantifies the abundance of chlorite and epidote using the depth of the 2250 nm absorption feature. Calculated as a ratio (Band 155 + Band 160) / Band 158, this index measures the strength of diagnostic Mg-OH and Fe-OH absorption features.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propylitic alteration intensity and greenschist-facies metamorphism.</w:t>
      </w:r>
    </w:p>
    <w:p>
      <w:pPr>
        <w:pStyle w:val="Heading3"/>
        <w:spacing w:before="200" w:after="120"/>
      </w:pPr>
      <w:r>
        <w:t xml:space="preserve">MgOH-Carbonate Abundance Index</w:t>
      </w:r>
    </w:p>
    <w:p>
      <w:pPr>
        <w:spacing w:after="120"/>
      </w:pPr>
      <w:r>
        <w:rPr>
          <w:rFonts w:ascii="Arial" w:cs="Arial" w:eastAsia="Arial" w:hAnsi="Arial"/>
          <w:sz w:val="22"/>
          <w:szCs w:val="22"/>
        </w:rPr>
        <w:t xml:space="preserve">Detects magnesium hydroxyl and carbonate minerals including serpentine, talc, magnesite, and dolomite. Exploits the strong absorption features in the 2300–2350 nm region diagnostic of Mg-OH and CO₃²⁻ bonds.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carbonate lithologies, ultramafic alteration, and serpentinisation.</w:t>
      </w:r>
    </w:p>
    <w:p>
      <w:pPr>
        <w:pStyle w:val="Heading3"/>
        <w:spacing w:before="200" w:after="120"/>
      </w:pPr>
      <w:r>
        <w:t xml:space="preserve">Dolomitisation Index (2320D)</w:t>
      </w:r>
    </w:p>
    <w:p>
      <w:pPr>
        <w:spacing w:after="120"/>
      </w:pPr>
      <w:r>
        <w:rPr>
          <w:rFonts w:ascii="Arial" w:cs="Arial" w:eastAsia="Arial" w:hAnsi="Arial"/>
          <w:sz w:val="22"/>
          <w:szCs w:val="22"/>
        </w:rPr>
        <w:t xml:space="preserve">Measures the degree of dolomitisation in carbonate rocks using the 2320 nm absorption depth. Calculated as a three-band average ratio that distinguishes dolomite from calcite based on their different Mg-CO₃ absorption characteristics.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Carbonate rock classification and dolomitisation mapping.</w:t>
      </w:r>
    </w:p>
    <w:p>
      <w:pPr>
        <w:pStyle w:val="Heading3"/>
        <w:spacing w:before="200" w:after="120"/>
      </w:pPr>
      <w:r>
        <w:t xml:space="preserve">ASA (Advanced Spectral Analysis) 2200D</w:t>
      </w:r>
    </w:p>
    <w:p>
      <w:pPr>
        <w:spacing w:after="120"/>
      </w:pPr>
      <w:r>
        <w:rPr>
          <w:rFonts w:ascii="Arial" w:cs="Arial" w:eastAsia="Arial" w:hAnsi="Arial"/>
          <w:sz w:val="22"/>
          <w:szCs w:val="22"/>
        </w:rPr>
        <w:t xml:space="preserve">Measures absorption depth at 2200 nm, diagnostic of Al-OH bearing minerals. This feature is strong in clay minerals and white micas.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General clay and white mica abundance mapping.</w:t>
      </w:r>
    </w:p>
    <w:p>
      <w:pPr>
        <w:pStyle w:val="Heading3"/>
        <w:spacing w:before="200" w:after="120"/>
      </w:pPr>
      <w:r>
        <w:t xml:space="preserve">ASA Composition (2200W)</w:t>
      </w:r>
    </w:p>
    <w:p>
      <w:pPr>
        <w:spacing w:after="120"/>
      </w:pPr>
      <w:r>
        <w:rPr>
          <w:rFonts w:ascii="Arial" w:cs="Arial" w:eastAsia="Arial" w:hAnsi="Arial"/>
          <w:sz w:val="22"/>
          <w:szCs w:val="22"/>
        </w:rPr>
        <w:t xml:space="preserve">Evaluates the wavelength position of the 2200 nm absorption feature, which shifts depending on mineral composition. Shorter wavelengths indicate Al-rich compositions, while longer wavelengths indicate more Mg-Fe-rich compositions.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Discriminating between different Al-OH mineral species.</w:t>
      </w:r>
    </w:p>
    <w:p>
      <w:pPr>
        <w:pStyle w:val="Heading3"/>
        <w:spacing w:before="200" w:after="120"/>
      </w:pPr>
      <w:r>
        <w:t xml:space="preserve">SWIR-Active Mafic Minerals</w:t>
      </w:r>
    </w:p>
    <w:p>
      <w:pPr>
        <w:spacing w:after="120"/>
      </w:pPr>
      <w:r>
        <w:rPr>
          <w:rFonts w:ascii="Arial" w:cs="Arial" w:eastAsia="Arial" w:hAnsi="Arial"/>
          <w:sz w:val="22"/>
          <w:szCs w:val="22"/>
        </w:rPr>
        <w:t xml:space="preserve">A six-band average in the SWIR region that identifies mafic minerals with diagnostic absorption features including actinolite, hornblende, and chlorite.</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mafic lithologies and alteration assemblages.</w:t>
      </w:r>
    </w:p>
    <w:p>
      <w:pPr>
        <w:pStyle w:val="Heading3"/>
        <w:spacing w:before="200" w:after="120"/>
      </w:pPr>
      <w:r>
        <w:t xml:space="preserve">900D (900 nm Absorption Depth)</w:t>
      </w:r>
    </w:p>
    <w:p>
      <w:pPr>
        <w:spacing w:after="120"/>
      </w:pPr>
      <w:r>
        <w:rPr>
          <w:rFonts w:ascii="Arial" w:cs="Arial" w:eastAsia="Arial" w:hAnsi="Arial"/>
          <w:sz w:val="22"/>
          <w:szCs w:val="22"/>
        </w:rPr>
        <w:t xml:space="preserve">Measures the depth of absorption near 900 nm, which is diagnostic of iron-bearing minerals. Deeper absorption indicates greater abundance of Fe²⁺-bearing minerals.</w:t>
      </w:r>
    </w:p>
    <w:p>
      <w:pPr>
        <w:pStyle w:val="Heading3"/>
        <w:spacing w:before="200" w:after="120"/>
      </w:pPr>
      <w:r>
        <w:t xml:space="preserve">900W (900 nm Absorption Wavelength)</w:t>
      </w:r>
    </w:p>
    <w:p>
      <w:pPr>
        <w:spacing w:after="120"/>
      </w:pPr>
      <w:r>
        <w:rPr>
          <w:rFonts w:ascii="Arial" w:cs="Arial" w:eastAsia="Arial" w:hAnsi="Arial"/>
          <w:sz w:val="22"/>
          <w:szCs w:val="22"/>
        </w:rPr>
        <w:t xml:space="preserve">Evaluates the wavelength position of the 900 nm absorption feature. Wavelength shifts are related to different iron-bearing mineral species.</w:t>
      </w:r>
    </w:p>
    <w:p>
      <w:pPr>
        <w:pStyle w:val="Heading2"/>
        <w:spacing w:before="280" w:after="160"/>
      </w:pPr>
      <w:r>
        <w:t xml:space="preserve">6.4 RGB Composite Images</w:t>
      </w:r>
    </w:p>
    <w:p>
      <w:pPr>
        <w:pStyle w:val="Heading3"/>
        <w:spacing w:before="200" w:after="120"/>
      </w:pPr>
      <w:r>
        <w:t xml:space="preserve">Geology RGB</w:t>
      </w:r>
    </w:p>
    <w:p>
      <w:pPr>
        <w:spacing w:after="120"/>
      </w:pPr>
      <w:r>
        <w:rPr>
          <w:rFonts w:ascii="Arial" w:cs="Arial" w:eastAsia="Arial" w:hAnsi="Arial"/>
          <w:sz w:val="22"/>
          <w:szCs w:val="22"/>
        </w:rPr>
        <w:t xml:space="preserve">A three-band false colour composite designed to highlight geological features and lithological variations. Displays spectral indices as red, green, and blue channels to provide a synoptic view of geological units.</w:t>
      </w:r>
    </w:p>
    <w:p>
      <w:pPr>
        <w:pStyle w:val="Heading3"/>
        <w:spacing w:before="200" w:after="120"/>
      </w:pPr>
      <w:r>
        <w:t xml:space="preserve">Agriculture 2 RGB</w:t>
      </w:r>
    </w:p>
    <w:p>
      <w:pPr>
        <w:spacing w:after="120"/>
      </w:pPr>
      <w:r>
        <w:rPr>
          <w:rFonts w:ascii="Arial" w:cs="Arial" w:eastAsia="Arial" w:hAnsi="Arial"/>
          <w:sz w:val="22"/>
          <w:szCs w:val="22"/>
        </w:rPr>
        <w:t xml:space="preserve">A composite image using bands selected to highlight vegetation health and agricultural land use patterns. Useful for distinguishing vegetated areas from exposed rock and soil.</w:t>
      </w:r>
    </w:p>
    <w:p>
      <w:pPr>
        <w:pStyle w:val="Heading3"/>
        <w:spacing w:before="200" w:after="120"/>
      </w:pPr>
      <w:r>
        <w:t xml:space="preserve">Natural Colour RGB</w:t>
      </w:r>
    </w:p>
    <w:p>
      <w:pPr>
        <w:spacing w:after="120"/>
      </w:pPr>
      <w:r>
        <w:rPr>
          <w:rFonts w:ascii="Arial" w:cs="Arial" w:eastAsia="Arial" w:hAnsi="Arial"/>
          <w:sz w:val="22"/>
          <w:szCs w:val="22"/>
        </w:rPr>
        <w:t xml:space="preserve">A simulated true-colour composite using visible wavelength bands. Provides a natural-looking image similar to what the human eye would see.</w:t>
      </w:r>
    </w:p>
    <w:p>
      <w:pPr>
        <w:pStyle w:val="Heading3"/>
        <w:spacing w:before="200" w:after="120"/>
      </w:pPr>
      <w:r>
        <w:t xml:space="preserve">FeSil-FeIrAltn-MgOHCarb RGB</w:t>
      </w:r>
    </w:p>
    <w:p>
      <w:pPr>
        <w:spacing w:after="120"/>
      </w:pPr>
      <w:r>
        <w:rPr>
          <w:rFonts w:ascii="Arial" w:cs="Arial" w:eastAsia="Arial" w:hAnsi="Arial"/>
          <w:sz w:val="22"/>
          <w:szCs w:val="22"/>
        </w:rPr>
        <w:t xml:space="preserve">An alteration-focused composite with:</w:t>
      </w:r>
    </w:p>
    <w:p>
      <w:pPr>
        <w:pStyle w:val="ListParagraph"/>
        <w:numPr>
          <w:ilvl w:val="0"/>
          <w:numId w:val="2"/>
        </w:numPr>
        <w:spacing w:after="60"/>
      </w:pPr>
      <w:r>
        <w:rPr>
          <w:rFonts w:ascii="Arial" w:cs="Arial" w:eastAsia="Arial" w:hAnsi="Arial"/>
          <w:b/>
          <w:bCs/>
          <w:sz w:val="22"/>
          <w:szCs w:val="22"/>
        </w:rPr>
        <w:t xml:space="preserve">Red channel: </w:t>
      </w:r>
      <w:r>
        <w:rPr>
          <w:rFonts w:ascii="Arial" w:cs="Arial" w:eastAsia="Arial" w:hAnsi="Arial"/>
          <w:sz w:val="22"/>
          <w:szCs w:val="22"/>
        </w:rPr>
        <w:t xml:space="preserve">Ferrous Silicates Index – highlights mafic minerals</w:t>
      </w:r>
    </w:p>
    <w:p>
      <w:pPr>
        <w:pStyle w:val="ListParagraph"/>
        <w:numPr>
          <w:ilvl w:val="0"/>
          <w:numId w:val="2"/>
        </w:numPr>
        <w:spacing w:after="60"/>
      </w:pPr>
      <w:r>
        <w:rPr>
          <w:rFonts w:ascii="Arial" w:cs="Arial" w:eastAsia="Arial" w:hAnsi="Arial"/>
          <w:b/>
          <w:bCs/>
          <w:sz w:val="22"/>
          <w:szCs w:val="22"/>
        </w:rPr>
        <w:t xml:space="preserve">Green channel: </w:t>
      </w:r>
      <w:r>
        <w:rPr>
          <w:rFonts w:ascii="Arial" w:cs="Arial" w:eastAsia="Arial" w:hAnsi="Arial"/>
          <w:sz w:val="22"/>
          <w:szCs w:val="22"/>
        </w:rPr>
        <w:t xml:space="preserve">Ferric Iron Alteration Index – highlights oxidised iron</w:t>
      </w:r>
    </w:p>
    <w:p>
      <w:pPr>
        <w:pStyle w:val="ListParagraph"/>
        <w:numPr>
          <w:ilvl w:val="0"/>
          <w:numId w:val="2"/>
        </w:numPr>
        <w:spacing w:after="60"/>
      </w:pPr>
      <w:r>
        <w:rPr>
          <w:rFonts w:ascii="Arial" w:cs="Arial" w:eastAsia="Arial" w:hAnsi="Arial"/>
          <w:b/>
          <w:bCs/>
          <w:sz w:val="22"/>
          <w:szCs w:val="22"/>
        </w:rPr>
        <w:t xml:space="preserve">Blue channel: </w:t>
      </w:r>
      <w:r>
        <w:rPr>
          <w:rFonts w:ascii="Arial" w:cs="Arial" w:eastAsia="Arial" w:hAnsi="Arial"/>
          <w:sz w:val="22"/>
          <w:szCs w:val="22"/>
        </w:rPr>
        <w:t xml:space="preserve">MgOH-Carbonate Abundance Index – highlights carbonates and Mg-OH minerals</w:t>
      </w:r>
    </w:p>
    <w:p>
      <w:pPr>
        <w:spacing w:after="60"/>
      </w:pPr>
    </w:p>
    <w:p>
      <w:pPr>
        <w:spacing w:after="120"/>
      </w:pPr>
      <w:r>
        <w:rPr>
          <w:rFonts w:ascii="Arial" w:cs="Arial" w:eastAsia="Arial" w:hAnsi="Arial"/>
          <w:sz w:val="22"/>
          <w:szCs w:val="22"/>
        </w:rPr>
        <w:t xml:space="preserve">This composite is particularly useful for rapid visual assessment of alteration domains. Propylitic zones appear cyan-blue, argillic zones appear red-magenta, and iron oxide zones appear green-yellow.</w:t>
      </w:r>
    </w:p>
    <w:p>
      <w:r>
        <w:br w:type="page"/>
      </w:r>
    </w:p>
    <w:p>
      <w:pPr>
        <w:pStyle w:val="Heading1"/>
        <w:spacing w:before="360" w:after="200"/>
      </w:pPr>
      <w:r>
        <w:t xml:space="preserve">7. Visualising Results</w:t>
      </w:r>
    </w:p>
    <w:p>
      <w:pPr>
        <w:pStyle w:val="Heading2"/>
        <w:spacing w:before="280" w:after="160"/>
      </w:pPr>
      <w:r>
        <w:t xml:space="preserve">7.1 Adjusting Stretch Settings</w:t>
      </w:r>
    </w:p>
    <w:p>
      <w:pPr>
        <w:spacing w:after="120"/>
      </w:pPr>
      <w:r>
        <w:rPr>
          <w:rFonts w:ascii="Arial" w:cs="Arial" w:eastAsia="Arial" w:hAnsi="Arial"/>
          <w:sz w:val="22"/>
          <w:szCs w:val="22"/>
        </w:rPr>
        <w:t xml:space="preserve">After processing, the spectral index layers are loaded with default symbology. For optimal visualisation:</w:t>
      </w:r>
    </w:p>
    <w:p>
      <w:pPr>
        <w:pStyle w:val="ListParagraph"/>
        <w:numPr>
          <w:ilvl w:val="0"/>
          <w:numId w:val="7"/>
        </w:numPr>
        <w:spacing w:after="60"/>
      </w:pPr>
      <w:r>
        <w:rPr>
          <w:rFonts w:ascii="Arial" w:cs="Arial" w:eastAsia="Arial" w:hAnsi="Arial"/>
          <w:sz w:val="22"/>
          <w:szCs w:val="22"/>
        </w:rPr>
        <w:t xml:space="preserve">Right-click the layer in the Layers panel and select Properties</w:t>
      </w:r>
    </w:p>
    <w:p>
      <w:pPr>
        <w:pStyle w:val="ListParagraph"/>
        <w:numPr>
          <w:ilvl w:val="0"/>
          <w:numId w:val="7"/>
        </w:numPr>
        <w:spacing w:after="60"/>
      </w:pPr>
      <w:r>
        <w:rPr>
          <w:rFonts w:ascii="Arial" w:cs="Arial" w:eastAsia="Arial" w:hAnsi="Arial"/>
          <w:sz w:val="22"/>
          <w:szCs w:val="22"/>
        </w:rPr>
        <w:t xml:space="preserve">Navigate to the Symbology tab</w:t>
      </w:r>
    </w:p>
    <w:p>
      <w:pPr>
        <w:pStyle w:val="ListParagraph"/>
        <w:numPr>
          <w:ilvl w:val="0"/>
          <w:numId w:val="7"/>
        </w:numPr>
        <w:spacing w:after="60"/>
      </w:pPr>
      <w:r>
        <w:rPr>
          <w:rFonts w:ascii="Arial" w:cs="Arial" w:eastAsia="Arial" w:hAnsi="Arial"/>
          <w:sz w:val="22"/>
          <w:szCs w:val="22"/>
        </w:rPr>
        <w:t xml:space="preserve">Under Min / Max Value Settings, select "Cumulative count cut" and set the range to 2%–98%</w:t>
      </w:r>
    </w:p>
    <w:p>
      <w:pPr>
        <w:pStyle w:val="ListParagraph"/>
        <w:numPr>
          <w:ilvl w:val="0"/>
          <w:numId w:val="7"/>
        </w:numPr>
        <w:spacing w:after="60"/>
      </w:pPr>
      <w:r>
        <w:rPr>
          <w:rFonts w:ascii="Arial" w:cs="Arial" w:eastAsia="Arial" w:hAnsi="Arial"/>
          <w:sz w:val="22"/>
          <w:szCs w:val="22"/>
        </w:rPr>
        <w:t xml:space="preserve">This removes outlier pixels and stretches the colour ramp across the useful data range</w:t>
      </w:r>
    </w:p>
    <w:p>
      <w:pPr>
        <w:pStyle w:val="ListParagraph"/>
        <w:numPr>
          <w:ilvl w:val="0"/>
          <w:numId w:val="7"/>
        </w:numPr>
        <w:spacing w:after="60"/>
      </w:pPr>
      <w:r>
        <w:rPr>
          <w:rFonts w:ascii="Arial" w:cs="Arial" w:eastAsia="Arial" w:hAnsi="Arial"/>
          <w:sz w:val="22"/>
          <w:szCs w:val="22"/>
        </w:rPr>
        <w:t xml:space="preserve">Click Apply to preview, then OK to confirm</w:t>
      </w:r>
    </w:p>
    <w:p>
      <w:pPr>
        <w:pStyle w:val="Heading2"/>
        <w:spacing w:before="280" w:after="160"/>
      </w:pPr>
      <w:r>
        <w:t xml:space="preserve">7.2 Recommended Colour Ramps</w:t>
      </w:r>
    </w:p>
    <w:p>
      <w:pPr>
        <w:spacing w:after="120"/>
      </w:pPr>
      <w:r>
        <w:rPr>
          <w:rFonts w:ascii="Arial" w:cs="Arial" w:eastAsia="Arial" w:hAnsi="Arial"/>
          <w:sz w:val="22"/>
          <w:szCs w:val="22"/>
        </w:rPr>
        <w:t xml:space="preserve">For single-band spectral index layers, consider using the following QGIS colour ramps:</w:t>
      </w:r>
    </w:p>
    <w:p>
      <w:pPr>
        <w:pStyle w:val="ListParagraph"/>
        <w:numPr>
          <w:ilvl w:val="0"/>
          <w:numId w:val="2"/>
        </w:numPr>
        <w:spacing w:after="60"/>
      </w:pPr>
      <w:r>
        <w:rPr>
          <w:rFonts w:ascii="Arial" w:cs="Arial" w:eastAsia="Arial" w:hAnsi="Arial"/>
          <w:sz w:val="22"/>
          <w:szCs w:val="22"/>
        </w:rPr>
        <w:t xml:space="preserve">"Spectral" – rainbow ramp useful for general-purpose visualisation of index values</w:t>
      </w:r>
    </w:p>
    <w:p>
      <w:pPr>
        <w:pStyle w:val="ListParagraph"/>
        <w:numPr>
          <w:ilvl w:val="0"/>
          <w:numId w:val="2"/>
        </w:numPr>
        <w:spacing w:after="60"/>
      </w:pPr>
      <w:r>
        <w:rPr>
          <w:rFonts w:ascii="Arial" w:cs="Arial" w:eastAsia="Arial" w:hAnsi="Arial"/>
          <w:sz w:val="22"/>
          <w:szCs w:val="22"/>
        </w:rPr>
        <w:t xml:space="preserve">"RdYlGn" (Red-Yellow-Green) – good for abundance indices where high values represent greater mineral content</w:t>
      </w:r>
    </w:p>
    <w:p>
      <w:pPr>
        <w:pStyle w:val="ListParagraph"/>
        <w:numPr>
          <w:ilvl w:val="0"/>
          <w:numId w:val="2"/>
        </w:numPr>
        <w:spacing w:after="60"/>
      </w:pPr>
      <w:r>
        <w:rPr>
          <w:rFonts w:ascii="Arial" w:cs="Arial" w:eastAsia="Arial" w:hAnsi="Arial"/>
          <w:sz w:val="22"/>
          <w:szCs w:val="22"/>
        </w:rPr>
        <w:t xml:space="preserve">"Magma" or "Viridis" – perceptually uniform ramps suitable for scientific publication</w:t>
      </w:r>
    </w:p>
    <w:p>
      <w:pPr>
        <w:pStyle w:val="ListParagraph"/>
        <w:numPr>
          <w:ilvl w:val="0"/>
          <w:numId w:val="2"/>
        </w:numPr>
        <w:spacing w:after="60"/>
      </w:pPr>
      <w:r>
        <w:rPr>
          <w:rFonts w:ascii="Arial" w:cs="Arial" w:eastAsia="Arial" w:hAnsi="Arial"/>
          <w:sz w:val="22"/>
          <w:szCs w:val="22"/>
        </w:rPr>
        <w:t xml:space="preserve">"RdBu" (Red-Blue diverging) – useful for compositional indices where values diverge from a central reference</w:t>
      </w:r>
    </w:p>
    <w:p>
      <w:pPr>
        <w:pStyle w:val="Heading2"/>
        <w:spacing w:before="280" w:after="160"/>
      </w:pPr>
      <w:r>
        <w:t xml:space="preserve">7.3 Combining Multiple Layers</w:t>
      </w:r>
    </w:p>
    <w:p>
      <w:pPr>
        <w:spacing w:after="120"/>
      </w:pPr>
      <w:r>
        <w:rPr>
          <w:rFonts w:ascii="Arial" w:cs="Arial" w:eastAsia="Arial" w:hAnsi="Arial"/>
          <w:sz w:val="22"/>
          <w:szCs w:val="22"/>
        </w:rPr>
        <w:t xml:space="preserve">To explore spatial relationships between different indices:</w:t>
      </w:r>
    </w:p>
    <w:p>
      <w:pPr>
        <w:pStyle w:val="ListParagraph"/>
        <w:numPr>
          <w:ilvl w:val="0"/>
          <w:numId w:val="2"/>
        </w:numPr>
        <w:spacing w:after="60"/>
      </w:pPr>
      <w:r>
        <w:rPr>
          <w:rFonts w:ascii="Arial" w:cs="Arial" w:eastAsia="Arial" w:hAnsi="Arial"/>
          <w:sz w:val="22"/>
          <w:szCs w:val="22"/>
        </w:rPr>
        <w:t xml:space="preserve">Use semi-transparent overlays by adjusting layer opacity in Layer Properties &gt; Transparency</w:t>
      </w:r>
    </w:p>
    <w:p>
      <w:pPr>
        <w:pStyle w:val="ListParagraph"/>
        <w:numPr>
          <w:ilvl w:val="0"/>
          <w:numId w:val="2"/>
        </w:numPr>
        <w:spacing w:after="60"/>
      </w:pPr>
      <w:r>
        <w:rPr>
          <w:rFonts w:ascii="Arial" w:cs="Arial" w:eastAsia="Arial" w:hAnsi="Arial"/>
          <w:sz w:val="22"/>
          <w:szCs w:val="22"/>
        </w:rPr>
        <w:t xml:space="preserve">Apply blend modes (Multiply, Overlay, Screen) via Layer Properties &gt; Symbology &gt; Layer Rendering</w:t>
      </w:r>
    </w:p>
    <w:p>
      <w:pPr>
        <w:pStyle w:val="ListParagraph"/>
        <w:numPr>
          <w:ilvl w:val="0"/>
          <w:numId w:val="2"/>
        </w:numPr>
        <w:spacing w:after="60"/>
      </w:pPr>
      <w:r>
        <w:rPr>
          <w:rFonts w:ascii="Arial" w:cs="Arial" w:eastAsia="Arial" w:hAnsi="Arial"/>
          <w:sz w:val="22"/>
          <w:szCs w:val="22"/>
        </w:rPr>
        <w:t xml:space="preserve">Create custom RGB composites by merging three single-band indices into a virtual raster</w:t>
      </w:r>
    </w:p>
    <w:p>
      <w:pPr>
        <w:pStyle w:val="Heading2"/>
        <w:spacing w:before="280" w:after="160"/>
      </w:pPr>
      <w:r>
        <w:t xml:space="preserve">7.4 Interpreting Common Mineral Assemblage Patterns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2800"/>
            <w:tcBorders>
              <w:top w:val="single" w:color="2E5E86" w:sz="1"/>
              <w:left w:val="single" w:color="2E5E86" w:sz="1"/>
              <w:bottom w:val="single" w:color="2E5E86" w:sz="1"/>
              <w:right w:val="single" w:color="2E5E86" w:sz="1"/>
            </w:tcBorders>
            <w:shd w:fill="2E5E86"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3300"/>
            <w:tcBorders>
              <w:top w:val="single" w:color="2E5E86" w:sz="1"/>
              <w:left w:val="single" w:color="2E5E86" w:sz="1"/>
              <w:bottom w:val="single" w:color="2E5E86" w:sz="1"/>
              <w:right w:val="single" w:color="2E5E86" w:sz="1"/>
            </w:tcBorders>
            <w:shd w:fill="2E5E86" w:val="clear"/>
            <w:tcMar>
              <w:top w:type="dxa" w:w="60"/>
              <w:left w:type="dxa" w:w="100"/>
              <w:bottom w:type="dxa" w:w="60"/>
              <w:right w:type="dxa" w:w="100"/>
            </w:tcMar>
          </w:tcPr>
          <w:p>
            <w:r>
              <w:rPr>
                <w:rFonts w:ascii="Arial" w:cs="Arial" w:eastAsia="Arial" w:hAnsi="Arial"/>
                <w:b/>
                <w:bCs/>
                <w:color w:val="FFFFFF"/>
                <w:sz w:val="20"/>
                <w:szCs w:val="20"/>
              </w:rPr>
              <w:t xml:space="preserve">Interpretation</w:t>
            </w:r>
          </w:p>
        </w:tc>
        <w:tc>
          <w:tcPr>
            <w:tcW w:type="dxa" w:w="3260"/>
            <w:tcBorders>
              <w:top w:val="single" w:color="2E5E86" w:sz="1"/>
              <w:left w:val="single" w:color="2E5E86" w:sz="1"/>
              <w:bottom w:val="single" w:color="2E5E86" w:sz="1"/>
              <w:right w:val="single" w:color="2E5E86" w:sz="1"/>
            </w:tcBorders>
            <w:shd w:fill="2E5E86" w:val="clear"/>
            <w:tcMar>
              <w:top w:type="dxa" w:w="60"/>
              <w:left w:type="dxa" w:w="100"/>
              <w:bottom w:type="dxa" w:w="60"/>
              <w:right w:type="dxa" w:w="100"/>
            </w:tcMar>
          </w:tcPr>
          <w:p>
            <w:r>
              <w:rPr>
                <w:rFonts w:ascii="Arial" w:cs="Arial" w:eastAsia="Arial" w:hAnsi="Arial"/>
                <w:b/>
                <w:bCs/>
                <w:color w:val="FFFFFF"/>
                <w:sz w:val="20"/>
                <w:szCs w:val="20"/>
              </w:rPr>
              <w:t xml:space="preserve">Significance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 Alunite + High Ferric Iron</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Advanced argillic alteration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Proximal to epithermal or porphyry systems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 Ferrous Silicates + Low Ferric Iron</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Fresh, unweathered mafic rock</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Mafic lithologies with minimal weathering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 MgOH-Carb + High Dolomitisation</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Carbonate-rich terrain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Dolomitic units or ultramafic alteration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 Phyllitic + High Muscovite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Sericite-quartz alteration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Phyllic alteration halo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 Propylitic + High Chl-Ep</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Chlorite-epidote assemblage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Outer propylitic alteration halo</w:t>
            </w:r>
          </w:p>
        </w:tc>
      </w:tr>
    </w:tbl>
    <w:p>
      <w:r>
        <w:br w:type="page"/>
      </w:r>
    </w:p>
    <w:p>
      <w:pPr>
        <w:pStyle w:val="Heading1"/>
        <w:spacing w:before="360" w:after="200"/>
      </w:pPr>
      <w:r>
        <w:t xml:space="preserve">8. Technical Notes</w:t>
      </w:r>
    </w:p>
    <w:p>
      <w:pPr>
        <w:pStyle w:val="Heading2"/>
        <w:spacing w:before="280" w:after="160"/>
      </w:pPr>
      <w:r>
        <w:t xml:space="preserve">8.1 Band Handling</w:t>
      </w:r>
    </w:p>
    <w:p>
      <w:pPr>
        <w:spacing w:after="120"/>
      </w:pPr>
      <w:r>
        <w:rPr>
          <w:rFonts w:ascii="Arial" w:cs="Arial" w:eastAsia="Arial" w:hAnsi="Arial"/>
          <w:sz w:val="22"/>
          <w:szCs w:val="22"/>
        </w:rPr>
        <w:t xml:space="preserve">The plugin imports EnMAP data directly using GDAL rather than the EnMAP-Box import algorithm. This approach bypasses any band filtering or merging that the EnMAP-Box may apply and ensures all available bands are loaded. The plugin parses the XML metadata file to locate the SPECTRAL_IMAGE.TIF file, then opens it directly with GDAL to determine the actual band count.</w:t>
      </w:r>
    </w:p>
    <w:p>
      <w:pPr>
        <w:spacing w:after="120"/>
      </w:pPr>
      <w:r>
        <w:rPr>
          <w:rFonts w:ascii="Arial" w:cs="Arial" w:eastAsia="Arial" w:hAnsi="Arial"/>
          <w:sz w:val="22"/>
          <w:szCs w:val="22"/>
        </w:rPr>
        <w:t xml:space="preserve">EnMAP L2A products may contain either 219 or 224 bands depending on the product version and quality filtering applied by the DLR ground segment. The plugin adapts automatically:</w:t>
      </w:r>
    </w:p>
    <w:p>
      <w:pPr>
        <w:pStyle w:val="ListParagraph"/>
        <w:numPr>
          <w:ilvl w:val="0"/>
          <w:numId w:val="2"/>
        </w:numPr>
        <w:spacing w:after="60"/>
      </w:pPr>
      <w:r>
        <w:rPr>
          <w:rFonts w:ascii="Arial" w:cs="Arial" w:eastAsia="Arial" w:hAnsi="Arial"/>
          <w:sz w:val="22"/>
          <w:szCs w:val="22"/>
        </w:rPr>
        <w:t xml:space="preserve">For 224-band products: uses the full band range including detector overlap bands</w:t>
      </w:r>
    </w:p>
    <w:p>
      <w:pPr>
        <w:pStyle w:val="ListParagraph"/>
        <w:numPr>
          <w:ilvl w:val="0"/>
          <w:numId w:val="2"/>
        </w:numPr>
        <w:spacing w:after="60"/>
      </w:pPr>
      <w:r>
        <w:rPr>
          <w:rFonts w:ascii="Arial" w:cs="Arial" w:eastAsia="Arial" w:hAnsi="Arial"/>
          <w:sz w:val="22"/>
          <w:szCs w:val="22"/>
        </w:rPr>
        <w:t xml:space="preserve">For 219-band products: adjusts the subset operations to use bands 210–219 for the p2395 subset, since all other calculations use bands at or below band 210</w:t>
      </w:r>
    </w:p>
    <w:p>
      <w:pPr>
        <w:spacing w:after="60"/>
      </w:pPr>
    </w:p>
    <w:p>
      <w:pPr>
        <w:spacing w:after="120"/>
        <w:ind w:left="360"/>
      </w:pPr>
      <w:r>
        <w:rPr>
          <w:rFonts w:ascii="Arial" w:cs="Arial" w:eastAsia="Arial" w:hAnsi="Arial"/>
          <w:b/>
          <w:bCs/>
          <w:i/>
          <w:iCs/>
          <w:color w:val="7A5C00"/>
          <w:sz w:val="22"/>
          <w:szCs w:val="22"/>
        </w:rPr>
        <w:t xml:space="preserve">Note: </w:t>
      </w:r>
      <w:r>
        <w:rPr>
          <w:rFonts w:ascii="Arial" w:cs="Arial" w:eastAsia="Arial" w:hAnsi="Arial"/>
          <w:i/>
          <w:iCs/>
          <w:color w:val="7A5C00"/>
          <w:sz w:val="22"/>
          <w:szCs w:val="22"/>
        </w:rPr>
        <w:t xml:space="preserve">Bad bands are NOT excluded during import. This is by design to ensure all spectral information is retained for analysis. If you need to exclude bad bands, pre-process your data with the EnMAP-Box before running this plugin.</w:t>
      </w:r>
    </w:p>
    <w:p>
      <w:pPr>
        <w:pStyle w:val="Heading2"/>
        <w:spacing w:before="280" w:after="160"/>
      </w:pPr>
      <w:r>
        <w:t xml:space="preserve">8.2 Processing Architecture</w:t>
      </w:r>
    </w:p>
    <w:p>
      <w:pPr>
        <w:spacing w:after="120"/>
      </w:pPr>
      <w:r>
        <w:rPr>
          <w:rFonts w:ascii="Arial" w:cs="Arial" w:eastAsia="Arial" w:hAnsi="Arial"/>
          <w:sz w:val="22"/>
          <w:szCs w:val="22"/>
        </w:rPr>
        <w:t xml:space="preserve">The plugin is built on the QGIS Processing Framework and uses a chain of child algorithms:</w:t>
      </w:r>
    </w:p>
    <w:p>
      <w:pPr>
        <w:pStyle w:val="ListParagraph"/>
        <w:numPr>
          <w:ilvl w:val="0"/>
          <w:numId w:val="2"/>
        </w:numPr>
        <w:spacing w:after="60"/>
      </w:pPr>
      <w:r>
        <w:rPr>
          <w:rFonts w:ascii="Arial" w:cs="Arial" w:eastAsia="Arial" w:hAnsi="Arial"/>
          <w:sz w:val="22"/>
          <w:szCs w:val="22"/>
        </w:rPr>
        <w:t xml:space="preserve">GDAL raster calculator (gdal:rastercalculator) for all band ratio and averaging calculations</w:t>
      </w:r>
    </w:p>
    <w:p>
      <w:pPr>
        <w:pStyle w:val="ListParagraph"/>
        <w:numPr>
          <w:ilvl w:val="0"/>
          <w:numId w:val="2"/>
        </w:numPr>
        <w:spacing w:after="60"/>
      </w:pPr>
      <w:r>
        <w:rPr>
          <w:rFonts w:ascii="Arial" w:cs="Arial" w:eastAsia="Arial" w:hAnsi="Arial"/>
          <w:sz w:val="22"/>
          <w:szCs w:val="22"/>
        </w:rPr>
        <w:t xml:space="preserve">EnMAP-Box subset tool (enmapbox:subsetrasterlayerbands) for extracting spectral subsets</w:t>
      </w:r>
    </w:p>
    <w:p>
      <w:pPr>
        <w:pStyle w:val="ListParagraph"/>
        <w:numPr>
          <w:ilvl w:val="0"/>
          <w:numId w:val="2"/>
        </w:numPr>
        <w:spacing w:after="60"/>
      </w:pPr>
      <w:r>
        <w:rPr>
          <w:rFonts w:ascii="Arial" w:cs="Arial" w:eastAsia="Arial" w:hAnsi="Arial"/>
          <w:sz w:val="22"/>
          <w:szCs w:val="22"/>
        </w:rPr>
        <w:t xml:space="preserve">EnMAP-Box save tool (enmapbox:saverasterlayeras) for writing compressed GeoTIFF outputs</w:t>
      </w:r>
    </w:p>
    <w:p>
      <w:pPr>
        <w:pStyle w:val="ListParagraph"/>
        <w:numPr>
          <w:ilvl w:val="0"/>
          <w:numId w:val="2"/>
        </w:numPr>
        <w:spacing w:after="60"/>
      </w:pPr>
      <w:r>
        <w:rPr>
          <w:rFonts w:ascii="Arial" w:cs="Arial" w:eastAsia="Arial" w:hAnsi="Arial"/>
          <w:sz w:val="22"/>
          <w:szCs w:val="22"/>
        </w:rPr>
        <w:t xml:space="preserve">GDAL virtual raster builder (gdal:buildvirtualraster) for creating multi-band RGB composites</w:t>
      </w:r>
    </w:p>
    <w:p>
      <w:pPr>
        <w:pStyle w:val="ListParagraph"/>
        <w:numPr>
          <w:ilvl w:val="0"/>
          <w:numId w:val="2"/>
        </w:numPr>
        <w:spacing w:after="60"/>
      </w:pPr>
      <w:r>
        <w:rPr>
          <w:rFonts w:ascii="Arial" w:cs="Arial" w:eastAsia="Arial" w:hAnsi="Arial"/>
          <w:sz w:val="22"/>
          <w:szCs w:val="22"/>
        </w:rPr>
        <w:t xml:space="preserve">QGIS native layer loader (native:loadlayer) for adding results to the project</w:t>
      </w:r>
    </w:p>
    <w:p>
      <w:pPr>
        <w:pStyle w:val="Heading2"/>
        <w:spacing w:before="280" w:after="160"/>
      </w:pPr>
      <w:r>
        <w:t xml:space="preserve">8.3 Spectral Index Formulas</w:t>
      </w:r>
    </w:p>
    <w:p>
      <w:pPr>
        <w:spacing w:after="120"/>
      </w:pPr>
      <w:r>
        <w:rPr>
          <w:rFonts w:ascii="Arial" w:cs="Arial" w:eastAsia="Arial" w:hAnsi="Arial"/>
          <w:sz w:val="22"/>
          <w:szCs w:val="22"/>
        </w:rPr>
        <w:t xml:space="preserve">The spectral indices are calculated using two types of formulas:</w:t>
      </w:r>
    </w:p>
    <w:p>
      <w:pPr>
        <w:spacing w:after="60"/>
      </w:pPr>
    </w:p>
    <w:p>
      <w:pPr>
        <w:spacing w:after="120"/>
      </w:pPr>
      <w:r>
        <w:rPr>
          <w:rFonts w:ascii="Arial" w:cs="Arial" w:eastAsia="Arial" w:hAnsi="Arial"/>
          <w:b/>
          <w:bCs/>
          <w:sz w:val="22"/>
          <w:szCs w:val="22"/>
        </w:rPr>
        <w:t xml:space="preserve">Band Ratios: </w:t>
      </w:r>
      <w:r>
        <w:rPr>
          <w:rFonts w:ascii="Arial" w:cs="Arial" w:eastAsia="Arial" w:hAnsi="Arial"/>
          <w:sz w:val="22"/>
          <w:szCs w:val="22"/>
        </w:rPr>
        <w:t xml:space="preserve">A/B where A and B are specific band numbers. These ratios highlight spectral contrast between wavelengths and are used for indices such as Alunite Composition (Band 74 / Band 76), Kaolinite Crystallinity (Band 188 / Band 194), and the Muscovite Index.</w:t>
      </w:r>
    </w:p>
    <w:p>
      <w:pPr>
        <w:spacing w:after="60"/>
      </w:pPr>
    </w:p>
    <w:p>
      <w:pPr>
        <w:spacing w:after="120"/>
      </w:pPr>
      <w:r>
        <w:rPr>
          <w:rFonts w:ascii="Arial" w:cs="Arial" w:eastAsia="Arial" w:hAnsi="Arial"/>
          <w:b/>
          <w:bCs/>
          <w:sz w:val="22"/>
          <w:szCs w:val="22"/>
        </w:rPr>
        <w:t xml:space="preserve">Normalised Averages: </w:t>
      </w:r>
      <w:r>
        <w:rPr>
          <w:rFonts w:ascii="Arial" w:cs="Arial" w:eastAsia="Arial" w:hAnsi="Arial"/>
          <w:sz w:val="22"/>
          <w:szCs w:val="22"/>
        </w:rPr>
        <w:t xml:space="preserve">(A+B)/C or (A+B+C+D+E)/n formulas that combine multiple bands. These are used for continuum depth and abundance calculations such as Chlorite-Epidote Abundance ((Band 155 + Band 160) / Band 158), and various averaging formulas over 3 to 6 bands for composite indices.</w:t>
      </w:r>
    </w:p>
    <w:p>
      <w:r>
        <w:br w:type="page"/>
      </w:r>
    </w:p>
    <w:p>
      <w:pPr>
        <w:pStyle w:val="Heading1"/>
        <w:spacing w:before="360" w:after="200"/>
      </w:pPr>
      <w:r>
        <w:t xml:space="preserve">9. Batch Processing</w:t>
      </w:r>
    </w:p>
    <w:p>
      <w:pPr>
        <w:spacing w:after="120"/>
      </w:pPr>
      <w:r>
        <w:rPr>
          <w:rFonts w:ascii="Arial" w:cs="Arial" w:eastAsia="Arial" w:hAnsi="Arial"/>
          <w:sz w:val="22"/>
          <w:szCs w:val="22"/>
        </w:rPr>
        <w:t xml:space="preserve">To process multiple EnMAP scenes programmatically, use the QGIS Python Console. The following example script processes a list of scenes in sequence:</w:t>
      </w:r>
    </w:p>
    <w:p>
      <w:pPr>
        <w:spacing w:after="60"/>
      </w:pPr>
    </w:p>
    <w:p>
      <w:pPr>
        <w:spacing w:after="60"/>
        <w:ind w:left="360"/>
      </w:pPr>
      <w:r>
        <w:rPr>
          <w:rFonts w:ascii="Courier New" w:cs="Courier New" w:eastAsia="Courier New" w:hAnsi="Courier New"/>
          <w:sz w:val="20"/>
          <w:szCs w:val="20"/>
        </w:rPr>
        <w:t xml:space="preserve"># Run in QGIS Python Console (Plugins &gt; Python Console)</w:t>
      </w:r>
    </w:p>
    <w:p>
      <w:pPr>
        <w:spacing w:after="60"/>
        <w:ind w:left="360"/>
      </w:pPr>
      <w:r>
        <w:rPr>
          <w:rFonts w:ascii="Courier New" w:cs="Courier New" w:eastAsia="Courier New" w:hAnsi="Courier New"/>
          <w:sz w:val="20"/>
          <w:szCs w:val="20"/>
        </w:rPr>
        <w:t xml:space="preserve">from qgis import processing</w:t>
      </w:r>
    </w:p>
    <w:p>
      <w:pPr>
        <w:spacing w:after="60"/>
      </w:pPr>
    </w:p>
    <w:p>
      <w:pPr>
        <w:spacing w:after="60"/>
        <w:ind w:left="360"/>
      </w:pPr>
      <w:r>
        <w:rPr>
          <w:rFonts w:ascii="Courier New" w:cs="Courier New" w:eastAsia="Courier New" w:hAnsi="Courier New"/>
          <w:sz w:val="20"/>
          <w:szCs w:val="20"/>
        </w:rPr>
        <w:t xml:space="preserve">scenes = [</w:t>
      </w:r>
    </w:p>
    <w:p>
      <w:pPr>
        <w:spacing w:after="60"/>
        <w:ind w:left="360"/>
      </w:pPr>
      <w:r>
        <w:rPr>
          <w:rFonts w:ascii="Courier New" w:cs="Courier New" w:eastAsia="Courier New" w:hAnsi="Courier New"/>
          <w:sz w:val="20"/>
          <w:szCs w:val="20"/>
        </w:rPr>
        <w:t xml:space="preserve">    '/path/to/scene1/METADATA.XML',</w:t>
      </w:r>
    </w:p>
    <w:p>
      <w:pPr>
        <w:spacing w:after="60"/>
        <w:ind w:left="360"/>
      </w:pPr>
      <w:r>
        <w:rPr>
          <w:rFonts w:ascii="Courier New" w:cs="Courier New" w:eastAsia="Courier New" w:hAnsi="Courier New"/>
          <w:sz w:val="20"/>
          <w:szCs w:val="20"/>
        </w:rPr>
        <w:t xml:space="preserve">    '/path/to/scene2/METADATA.XML',</w:t>
      </w:r>
    </w:p>
    <w:p>
      <w:pPr>
        <w:spacing w:after="60"/>
        <w:ind w:left="360"/>
      </w:pPr>
      <w:r>
        <w:rPr>
          <w:rFonts w:ascii="Courier New" w:cs="Courier New" w:eastAsia="Courier New" w:hAnsi="Courier New"/>
          <w:sz w:val="20"/>
          <w:szCs w:val="20"/>
        </w:rPr>
        <w:t xml:space="preserve">    '/path/to/scene3/METADATA.XML'</w:t>
      </w:r>
    </w:p>
    <w:p>
      <w:pPr>
        <w:spacing w:after="60"/>
        <w:ind w:left="360"/>
      </w:pPr>
      <w:r>
        <w:rPr>
          <w:rFonts w:ascii="Courier New" w:cs="Courier New" w:eastAsia="Courier New" w:hAnsi="Courier New"/>
          <w:sz w:val="20"/>
          <w:szCs w:val="20"/>
        </w:rPr>
        <w:t xml:space="preserve">]</w:t>
      </w:r>
    </w:p>
    <w:p>
      <w:pPr>
        <w:spacing w:after="60"/>
      </w:pPr>
    </w:p>
    <w:p>
      <w:pPr>
        <w:spacing w:after="60"/>
        <w:ind w:left="360"/>
      </w:pPr>
      <w:r>
        <w:rPr>
          <w:rFonts w:ascii="Courier New" w:cs="Courier New" w:eastAsia="Courier New" w:hAnsi="Courier New"/>
          <w:sz w:val="20"/>
          <w:szCs w:val="20"/>
        </w:rPr>
        <w:t xml:space="preserve">output_base = '/path/to/outputs/'</w:t>
      </w:r>
    </w:p>
    <w:p>
      <w:pPr>
        <w:spacing w:after="60"/>
      </w:pPr>
    </w:p>
    <w:p>
      <w:pPr>
        <w:spacing w:after="60"/>
        <w:ind w:left="360"/>
      </w:pPr>
      <w:r>
        <w:rPr>
          <w:rFonts w:ascii="Courier New" w:cs="Courier New" w:eastAsia="Courier New" w:hAnsi="Courier New"/>
          <w:sz w:val="20"/>
          <w:szCs w:val="20"/>
        </w:rPr>
        <w:t xml:space="preserve">for i, scene in enumerate(scenes):</w:t>
      </w:r>
    </w:p>
    <w:p>
      <w:pPr>
        <w:spacing w:after="60"/>
        <w:ind w:left="360"/>
      </w:pPr>
      <w:r>
        <w:rPr>
          <w:rFonts w:ascii="Courier New" w:cs="Courier New" w:eastAsia="Courier New" w:hAnsi="Courier New"/>
          <w:sz w:val="20"/>
          <w:szCs w:val="20"/>
        </w:rPr>
        <w:t xml:space="preserve">    scene_name = f'Scene_{i+1}'</w:t>
      </w:r>
    </w:p>
    <w:p>
      <w:pPr>
        <w:spacing w:after="60"/>
        <w:ind w:left="360"/>
      </w:pPr>
      <w:r>
        <w:rPr>
          <w:rFonts w:ascii="Courier New" w:cs="Courier New" w:eastAsia="Courier New" w:hAnsi="Courier New"/>
          <w:sz w:val="20"/>
          <w:szCs w:val="20"/>
        </w:rPr>
        <w:t xml:space="preserve">    output_dir = f'{output_base}/{scene_name}'</w:t>
      </w:r>
    </w:p>
    <w:p>
      <w:pPr>
        <w:spacing w:after="60"/>
        <w:ind w:left="360"/>
      </w:pPr>
      <w:r>
        <w:rPr>
          <w:rFonts w:ascii="Courier New" w:cs="Courier New" w:eastAsia="Courier New" w:hAnsi="Courier New"/>
          <w:sz w:val="20"/>
          <w:szCs w:val="20"/>
        </w:rPr>
        <w:t xml:space="preserve">    params = {</w:t>
      </w:r>
    </w:p>
    <w:p>
      <w:pPr>
        <w:spacing w:after="60"/>
        <w:ind w:left="360"/>
      </w:pPr>
      <w:r>
        <w:rPr>
          <w:rFonts w:ascii="Courier New" w:cs="Courier New" w:eastAsia="Courier New" w:hAnsi="Courier New"/>
          <w:sz w:val="20"/>
          <w:szCs w:val="20"/>
        </w:rPr>
        <w:t xml:space="preserve">        'select_enmap_xml': scene,</w:t>
      </w:r>
    </w:p>
    <w:p>
      <w:pPr>
        <w:spacing w:after="60"/>
        <w:ind w:left="360"/>
      </w:pPr>
      <w:r>
        <w:rPr>
          <w:rFonts w:ascii="Courier New" w:cs="Courier New" w:eastAsia="Courier New" w:hAnsi="Courier New"/>
          <w:sz w:val="20"/>
          <w:szCs w:val="20"/>
        </w:rPr>
        <w:t xml:space="preserve">        'select_directory': output_dir,</w:t>
      </w:r>
    </w:p>
    <w:p>
      <w:pPr>
        <w:spacing w:after="60"/>
        <w:ind w:left="360"/>
      </w:pPr>
      <w:r>
        <w:rPr>
          <w:rFonts w:ascii="Courier New" w:cs="Courier New" w:eastAsia="Courier New" w:hAnsi="Courier New"/>
          <w:sz w:val="20"/>
          <w:szCs w:val="20"/>
        </w:rPr>
        <w:t xml:space="preserve">        'output_prefix': scene_name</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processing.run(</w:t>
      </w:r>
    </w:p>
    <w:p>
      <w:pPr>
        <w:spacing w:after="60"/>
        <w:ind w:left="360"/>
      </w:pPr>
      <w:r>
        <w:rPr>
          <w:rFonts w:ascii="Courier New" w:cs="Courier New" w:eastAsia="Courier New" w:hAnsi="Courier New"/>
          <w:sz w:val="20"/>
          <w:szCs w:val="20"/>
        </w:rPr>
        <w:t xml:space="preserve">        'enmapprocessor:enmap_spectral_indices_full',</w:t>
      </w:r>
    </w:p>
    <w:p>
      <w:pPr>
        <w:spacing w:after="60"/>
        <w:ind w:left="360"/>
      </w:pPr>
      <w:r>
        <w:rPr>
          <w:rFonts w:ascii="Courier New" w:cs="Courier New" w:eastAsia="Courier New" w:hAnsi="Courier New"/>
          <w:sz w:val="20"/>
          <w:szCs w:val="20"/>
        </w:rPr>
        <w:t xml:space="preserve">        params</w:t>
      </w:r>
    </w:p>
    <w:p>
      <w:pPr>
        <w:spacing w:after="60"/>
        <w:ind w:left="360"/>
      </w:pPr>
      <w:r>
        <w:rPr>
          <w:rFonts w:ascii="Courier New" w:cs="Courier New" w:eastAsia="Courier New" w:hAnsi="Courier New"/>
          <w:sz w:val="20"/>
          <w:szCs w:val="20"/>
        </w:rPr>
        <w:t xml:space="preserve">    )</w:t>
      </w:r>
    </w:p>
    <w:p>
      <w:r>
        <w:br w:type="page"/>
      </w:r>
    </w:p>
    <w:p>
      <w:pPr>
        <w:pStyle w:val="Heading1"/>
        <w:spacing w:before="360" w:after="200"/>
      </w:pPr>
      <w:r>
        <w:t xml:space="preserve">10. Troubleshooting</w:t>
      </w:r>
    </w:p>
    <w:p>
      <w:pPr>
        <w:pStyle w:val="Heading2"/>
        <w:spacing w:before="280" w:after="160"/>
      </w:pPr>
      <w:r>
        <w:t xml:space="preserve">10.1 Common Issues</w:t>
      </w:r>
    </w:p>
    <w:p>
      <w:pPr>
        <w:spacing w:after="60"/>
      </w:pPr>
    </w:p>
    <w:p>
      <w:pPr>
        <w:pStyle w:val="Heading3"/>
        <w:spacing w:before="200" w:after="120"/>
      </w:pPr>
      <w:r>
        <w:t xml:space="preserve">EnMAP-Box algorithms not found</w:t>
      </w:r>
    </w:p>
    <w:p>
      <w:pPr>
        <w:spacing w:after="120"/>
      </w:pPr>
      <w:r>
        <w:rPr>
          <w:rFonts w:ascii="Arial" w:cs="Arial" w:eastAsia="Arial" w:hAnsi="Arial"/>
          <w:sz w:val="22"/>
          <w:szCs w:val="22"/>
        </w:rPr>
        <w:t xml:space="preserve">If you see an error about missing EnMAP-Box algorithms, the EnMAP-Box plugin is not installed or not enabled. Install it from the QGIS Plugin Repository (Plugins &gt; Manage and Install Plugins &gt; search for "EnMAP-Box") and restart QGIS.</w:t>
      </w:r>
    </w:p>
    <w:p>
      <w:pPr>
        <w:pStyle w:val="Heading3"/>
        <w:spacing w:before="200" w:after="120"/>
      </w:pPr>
      <w:r>
        <w:t xml:space="preserve">Output directory not writable</w:t>
      </w:r>
    </w:p>
    <w:p>
      <w:pPr>
        <w:spacing w:after="120"/>
      </w:pPr>
      <w:r>
        <w:rPr>
          <w:rFonts w:ascii="Arial" w:cs="Arial" w:eastAsia="Arial" w:hAnsi="Arial"/>
          <w:sz w:val="22"/>
          <w:szCs w:val="22"/>
        </w:rPr>
        <w:t xml:space="preserve">Ensure you have write permissions to the selected output directory. Try selecting a different location. On Linux/macOS, check folder permissions with the terminal.</w:t>
      </w:r>
    </w:p>
    <w:p>
      <w:pPr>
        <w:pStyle w:val="Heading3"/>
        <w:spacing w:before="200" w:after="120"/>
      </w:pPr>
      <w:r>
        <w:t xml:space="preserve">Processing is very slow</w:t>
      </w:r>
    </w:p>
    <w:p>
      <w:pPr>
        <w:spacing w:after="120"/>
      </w:pPr>
      <w:r>
        <w:rPr>
          <w:rFonts w:ascii="Arial" w:cs="Arial" w:eastAsia="Arial" w:hAnsi="Arial"/>
          <w:sz w:val="22"/>
          <w:szCs w:val="22"/>
        </w:rPr>
        <w:t xml:space="preserve">EnMAP processing is computationally intensive due to the large number of bands and calculation steps. For faster processing, use a solid-state drive (SSD) for the output directory, close unnecessary applications to free RAM, and avoid using network drives.</w:t>
      </w:r>
    </w:p>
    <w:p>
      <w:pPr>
        <w:pStyle w:val="Heading3"/>
        <w:spacing w:before="200" w:after="120"/>
      </w:pPr>
      <w:r>
        <w:t xml:space="preserve">Out of memory errors</w:t>
      </w:r>
    </w:p>
    <w:p>
      <w:pPr>
        <w:spacing w:after="120"/>
      </w:pPr>
      <w:r>
        <w:rPr>
          <w:rFonts w:ascii="Arial" w:cs="Arial" w:eastAsia="Arial" w:hAnsi="Arial"/>
          <w:sz w:val="22"/>
          <w:szCs w:val="22"/>
        </w:rPr>
        <w:t xml:space="preserve">Close other applications to free system RAM. If the issue persists, try processing a smaller subset of the scene first. Increasing the QGIS memory allocation (Settings &gt; Options &gt; Advanced) may also help.</w:t>
      </w:r>
    </w:p>
    <w:p>
      <w:pPr>
        <w:pStyle w:val="Heading3"/>
        <w:spacing w:before="200" w:after="120"/>
      </w:pPr>
      <w:r>
        <w:t xml:space="preserve">Some index values look anomalous</w:t>
      </w:r>
    </w:p>
    <w:p>
      <w:pPr>
        <w:spacing w:after="120"/>
      </w:pPr>
      <w:r>
        <w:rPr>
          <w:rFonts w:ascii="Arial" w:cs="Arial" w:eastAsia="Arial" w:hAnsi="Arial"/>
          <w:sz w:val="22"/>
          <w:szCs w:val="22"/>
        </w:rPr>
        <w:t xml:space="preserve">Check the input data quality by examining the EnMAP quality layers. Verify that the no-data values are being handled correctly. Cloud-affected or shadowed pixels may produce unreliable index values. Apply a quality mask to exclude problematic pixels before interpretation.</w:t>
      </w:r>
    </w:p>
    <w:p>
      <w:pPr>
        <w:pStyle w:val="Heading3"/>
        <w:spacing w:before="200" w:after="120"/>
      </w:pPr>
      <w:r>
        <w:t xml:space="preserve">Results do not load into the project</w:t>
      </w:r>
    </w:p>
    <w:p>
      <w:pPr>
        <w:spacing w:after="120"/>
      </w:pPr>
      <w:r>
        <w:rPr>
          <w:rFonts w:ascii="Arial" w:cs="Arial" w:eastAsia="Arial" w:hAnsi="Arial"/>
          <w:sz w:val="22"/>
          <w:szCs w:val="22"/>
        </w:rPr>
        <w:t xml:space="preserve">Check that the output directory exists and files were created successfully. If the automatic loading fails, you can manually add the layers: Layer &gt; Add Layer &gt; Add Raster Layer, then navigate to the output directory and select the GeoTIFF files.</w:t>
      </w:r>
    </w:p>
    <w:p>
      <w:pPr>
        <w:pStyle w:val="Heading2"/>
        <w:spacing w:before="280" w:after="160"/>
      </w:pPr>
      <w:r>
        <w:t xml:space="preserve">10.2 Checking the Processing Log</w:t>
      </w:r>
    </w:p>
    <w:p>
      <w:pPr>
        <w:spacing w:after="120"/>
      </w:pPr>
      <w:r>
        <w:rPr>
          <w:rFonts w:ascii="Arial" w:cs="Arial" w:eastAsia="Arial" w:hAnsi="Arial"/>
          <w:sz w:val="22"/>
          <w:szCs w:val="22"/>
        </w:rPr>
        <w:t xml:space="preserve">The processing log provides detailed information about each step. To review the log:</w:t>
      </w:r>
    </w:p>
    <w:p>
      <w:pPr>
        <w:pStyle w:val="ListParagraph"/>
        <w:numPr>
          <w:ilvl w:val="0"/>
          <w:numId w:val="3"/>
        </w:numPr>
        <w:spacing w:after="60"/>
      </w:pPr>
      <w:r>
        <w:rPr>
          <w:rFonts w:ascii="Arial" w:cs="Arial" w:eastAsia="Arial" w:hAnsi="Arial"/>
          <w:sz w:val="22"/>
          <w:szCs w:val="22"/>
        </w:rPr>
        <w:t xml:space="preserve">During processing, the log is displayed in the processing dialog</w:t>
      </w:r>
    </w:p>
    <w:p>
      <w:pPr>
        <w:pStyle w:val="ListParagraph"/>
        <w:numPr>
          <w:ilvl w:val="0"/>
          <w:numId w:val="3"/>
        </w:numPr>
        <w:spacing w:after="60"/>
      </w:pPr>
      <w:r>
        <w:rPr>
          <w:rFonts w:ascii="Arial" w:cs="Arial" w:eastAsia="Arial" w:hAnsi="Arial"/>
          <w:sz w:val="22"/>
          <w:szCs w:val="22"/>
        </w:rPr>
        <w:t xml:space="preserve">After processing, check View &gt; Panels &gt; Log Messages for any warnings or errors</w:t>
      </w:r>
    </w:p>
    <w:p>
      <w:pPr>
        <w:pStyle w:val="ListParagraph"/>
        <w:numPr>
          <w:ilvl w:val="0"/>
          <w:numId w:val="3"/>
        </w:numPr>
        <w:spacing w:after="60"/>
      </w:pPr>
      <w:r>
        <w:rPr>
          <w:rFonts w:ascii="Arial" w:cs="Arial" w:eastAsia="Arial" w:hAnsi="Arial"/>
          <w:sz w:val="22"/>
          <w:szCs w:val="22"/>
        </w:rPr>
        <w:t xml:space="preserve">The Python Console (Plugins &gt; Python Console) may display additional error details</w:t>
      </w:r>
    </w:p>
    <w:p>
      <w:r>
        <w:br w:type="page"/>
      </w:r>
    </w:p>
    <w:p>
      <w:pPr>
        <w:pStyle w:val="Heading1"/>
        <w:spacing w:before="360" w:after="200"/>
      </w:pPr>
      <w:r>
        <w:t xml:space="preserve">11. Data Sources and References</w:t>
      </w:r>
    </w:p>
    <w:p>
      <w:pPr>
        <w:pStyle w:val="Heading2"/>
        <w:spacing w:before="280" w:after="160"/>
      </w:pPr>
      <w:r>
        <w:t xml:space="preserve">11.1 Data Access</w:t>
      </w:r>
    </w:p>
    <w:p>
      <w:pPr>
        <w:spacing w:after="120"/>
      </w:pPr>
      <w:r>
        <w:rPr>
          <w:rFonts w:ascii="Arial" w:cs="Arial" w:eastAsia="Arial" w:hAnsi="Arial"/>
          <w:b/>
          <w:bCs/>
          <w:sz w:val="22"/>
          <w:szCs w:val="22"/>
        </w:rPr>
        <w:t xml:space="preserve">EnMAP Ground Segment: </w:t>
      </w:r>
      <w:r>
        <w:rPr>
          <w:rFonts w:ascii="Arial" w:cs="Arial" w:eastAsia="Arial" w:hAnsi="Arial"/>
          <w:sz w:val="22"/>
          <w:szCs w:val="22"/>
        </w:rPr>
        <w:t xml:space="preserve">https://planning.enmap.org/</w:t>
      </w:r>
    </w:p>
    <w:p>
      <w:pPr>
        <w:spacing w:after="120"/>
      </w:pPr>
      <w:r>
        <w:rPr>
          <w:rFonts w:ascii="Arial" w:cs="Arial" w:eastAsia="Arial" w:hAnsi="Arial"/>
          <w:sz w:val="22"/>
          <w:szCs w:val="22"/>
        </w:rPr>
        <w:t xml:space="preserve">Register for an account and submit data requests to download EnMAP L2A products.</w:t>
      </w:r>
    </w:p>
    <w:p>
      <w:pPr>
        <w:spacing w:after="60"/>
      </w:pPr>
    </w:p>
    <w:p>
      <w:pPr>
        <w:spacing w:after="120"/>
      </w:pPr>
      <w:r>
        <w:rPr>
          <w:rFonts w:ascii="Arial" w:cs="Arial" w:eastAsia="Arial" w:hAnsi="Arial"/>
          <w:b/>
          <w:bCs/>
          <w:sz w:val="22"/>
          <w:szCs w:val="22"/>
        </w:rPr>
        <w:t xml:space="preserve">EnMAP Mission Information: </w:t>
      </w:r>
      <w:r>
        <w:rPr>
          <w:rFonts w:ascii="Arial" w:cs="Arial" w:eastAsia="Arial" w:hAnsi="Arial"/>
          <w:sz w:val="22"/>
          <w:szCs w:val="22"/>
        </w:rPr>
        <w:t xml:space="preserve">https://www.enmap.org/</w:t>
      </w:r>
    </w:p>
    <w:p>
      <w:pPr>
        <w:spacing w:after="120"/>
      </w:pPr>
      <w:r>
        <w:rPr>
          <w:rFonts w:ascii="Arial" w:cs="Arial" w:eastAsia="Arial" w:hAnsi="Arial"/>
          <w:sz w:val="22"/>
          <w:szCs w:val="22"/>
        </w:rPr>
        <w:t xml:space="preserve">Official mission website with technical specifications, publications, and news.</w:t>
      </w:r>
    </w:p>
    <w:p>
      <w:pPr>
        <w:pStyle w:val="Heading2"/>
        <w:spacing w:before="280" w:after="160"/>
      </w:pPr>
      <w:r>
        <w:t xml:space="preserve">11.2 Related Software</w:t>
      </w:r>
    </w:p>
    <w:p>
      <w:pPr>
        <w:spacing w:after="120"/>
      </w:pPr>
      <w:r>
        <w:rPr>
          <w:rFonts w:ascii="Arial" w:cs="Arial" w:eastAsia="Arial" w:hAnsi="Arial"/>
          <w:b/>
          <w:bCs/>
          <w:sz w:val="22"/>
          <w:szCs w:val="22"/>
        </w:rPr>
        <w:t xml:space="preserve">EnMAP-Box: </w:t>
      </w:r>
      <w:r>
        <w:rPr>
          <w:rFonts w:ascii="Arial" w:cs="Arial" w:eastAsia="Arial" w:hAnsi="Arial"/>
          <w:sz w:val="22"/>
          <w:szCs w:val="22"/>
        </w:rPr>
        <w:t xml:space="preserve">https://enmap-box.readthedocs.io/</w:t>
      </w:r>
    </w:p>
    <w:p>
      <w:pPr>
        <w:spacing w:after="120"/>
      </w:pPr>
      <w:r>
        <w:rPr>
          <w:rFonts w:ascii="Arial" w:cs="Arial" w:eastAsia="Arial" w:hAnsi="Arial"/>
          <w:sz w:val="22"/>
          <w:szCs w:val="22"/>
        </w:rPr>
        <w:t xml:space="preserve">The EnMAP-Box is a comprehensive QGIS plugin for visualising and processing EnMAP data. It provides the import and raster save algorithms used by this plugin.</w:t>
      </w:r>
    </w:p>
    <w:p>
      <w:pPr>
        <w:spacing w:after="60"/>
      </w:pPr>
    </w:p>
    <w:p>
      <w:pPr>
        <w:spacing w:after="120"/>
      </w:pPr>
      <w:r>
        <w:rPr>
          <w:rFonts w:ascii="Arial" w:cs="Arial" w:eastAsia="Arial" w:hAnsi="Arial"/>
          <w:b/>
          <w:bCs/>
          <w:sz w:val="22"/>
          <w:szCs w:val="22"/>
        </w:rPr>
        <w:t xml:space="preserve">QGIS Documentation: </w:t>
      </w:r>
      <w:r>
        <w:rPr>
          <w:rFonts w:ascii="Arial" w:cs="Arial" w:eastAsia="Arial" w:hAnsi="Arial"/>
          <w:sz w:val="22"/>
          <w:szCs w:val="22"/>
        </w:rPr>
        <w:t xml:space="preserve">https://docs.qgis.org/</w:t>
      </w:r>
    </w:p>
    <w:p>
      <w:pPr>
        <w:spacing w:after="120"/>
      </w:pPr>
      <w:r>
        <w:rPr>
          <w:rFonts w:ascii="Arial" w:cs="Arial" w:eastAsia="Arial" w:hAnsi="Arial"/>
          <w:sz w:val="22"/>
          <w:szCs w:val="22"/>
        </w:rPr>
        <w:t xml:space="preserve">Official QGIS documentation including guides on the Processing Framework used by this plugin.</w:t>
      </w:r>
    </w:p>
    <w:p>
      <w:pPr>
        <w:pStyle w:val="Heading2"/>
        <w:spacing w:before="280" w:after="160"/>
      </w:pPr>
      <w:r>
        <w:t xml:space="preserve">11.3 Citation</w:t>
      </w:r>
    </w:p>
    <w:p>
      <w:pPr>
        <w:spacing w:after="120"/>
      </w:pPr>
      <w:r>
        <w:rPr>
          <w:rFonts w:ascii="Arial" w:cs="Arial" w:eastAsia="Arial" w:hAnsi="Arial"/>
          <w:sz w:val="22"/>
          <w:szCs w:val="22"/>
        </w:rPr>
        <w:t xml:space="preserve">If you use this plugin in your research, please cite the EnMAP mission:</w:t>
      </w:r>
    </w:p>
    <w:p>
      <w:pPr>
        <w:spacing w:after="60"/>
      </w:pPr>
    </w:p>
    <w:p>
      <w:pPr>
        <w:spacing w:after="120"/>
      </w:pPr>
      <w:r>
        <w:rPr>
          <w:rFonts w:ascii="Arial" w:cs="Arial" w:eastAsia="Arial" w:hAnsi="Arial"/>
          <w:i/>
          <w:iCs/>
          <w:sz w:val="22"/>
          <w:szCs w:val="22"/>
        </w:rPr>
        <w:t xml:space="preserve">Guanter, L., et al. (2015). The EnMAP Spaceborne Imaging Spectroscopy Mission for Earth Observation. Remote Sensing, 7(7), 8830–8857.</w:t>
      </w:r>
    </w:p>
    <w:p>
      <w:pPr>
        <w:pStyle w:val="Heading2"/>
        <w:spacing w:before="280" w:after="160"/>
      </w:pPr>
      <w:r>
        <w:t xml:space="preserve">11.4 Compatibility</w:t>
      </w:r>
    </w:p>
    <w:p>
      <w:pPr>
        <w:spacing w:after="120"/>
      </w:pPr>
      <w:r>
        <w:rPr>
          <w:rFonts w:ascii="Arial" w:cs="Arial" w:eastAsia="Arial" w:hAnsi="Arial"/>
          <w:sz w:val="22"/>
          <w:szCs w:val="22"/>
        </w:rPr>
        <w:t xml:space="preserve">The output GeoTIFF files produced by this plugin are compatible with all major geospatial software including ENVI, ArcGIS Pro, Google Earth Engine, and Python libraries such as GDAL, Rasterio, and the raster package in R.</w:t>
      </w:r>
    </w:p>
    <w:p>
      <w:pPr>
        <w:spacing w:after="60"/>
      </w:pPr>
    </w:p>
    <w:p>
      <w:pPr>
        <w:spacing w:after="60"/>
      </w:pPr>
    </w:p>
    <w:p>
      <w:pPr>
        <w:pBdr>
          <w:top w:val="single" w:color="2E5E86" w:sz="6" w:space="8"/>
        </w:pBdr>
        <w:spacing w:before="400" w:after="200"/>
        <w:jc w:val="center"/>
      </w:pPr>
    </w:p>
    <w:p>
      <w:pPr>
        <w:spacing w:after="100"/>
        <w:jc w:val="center"/>
      </w:pPr>
      <w:r>
        <w:rPr>
          <w:rFonts w:ascii="Arial" w:cs="Arial" w:eastAsia="Arial" w:hAnsi="Arial"/>
          <w:i/>
          <w:iCs/>
          <w:color w:val="888888"/>
          <w:sz w:val="22"/>
          <w:szCs w:val="22"/>
        </w:rPr>
        <w:t xml:space="preserve">End of User Guide</w:t>
      </w:r>
    </w:p>
    <w:p>
      <w:pPr>
        <w:jc w:val="center"/>
      </w:pPr>
      <w:r>
        <w:rPr>
          <w:rFonts w:ascii="Arial" w:cs="Arial" w:eastAsia="Arial" w:hAnsi="Arial"/>
          <w:color w:val="AAAAAA"/>
          <w:sz w:val="20"/>
          <w:szCs w:val="20"/>
        </w:rPr>
        <w:t xml:space="preserve">EnMap_QGIS_v1_0 – Version 1.0 – February 2026</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888888"/>
        <w:sz w:val="18"/>
        <w:szCs w:val="18"/>
      </w:rPr>
      <w:t xml:space="preserve">EnMap_QGIS_v1_0 User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888888"/>
        <w:sz w:val="18"/>
        <w:szCs w:val="18"/>
      </w:rPr>
      <w:t xml:space="preserve">EnMap_QGIS_v1_0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E8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2026-02-15T07:10:12.900Z</dcterms:created>
  <dcterms:modified xsi:type="dcterms:W3CDTF">2026-02-15T07:10:12.901Z</dcterms:modified>
</cp:coreProperties>
</file>

<file path=docProps/custom.xml><?xml version="1.0" encoding="utf-8"?>
<Properties xmlns="http://schemas.openxmlformats.org/officeDocument/2006/custom-properties" xmlns:vt="http://schemas.openxmlformats.org/officeDocument/2006/docPropsVTypes"/>
</file>