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3A1560"/>
          <w:sz w:val="56"/>
          <w:szCs w:val="56"/>
        </w:rPr>
        <w:t xml:space="preserve">PRISMA_QGIS_v1_0</w:t>
      </w:r>
    </w:p>
    <w:p>
      <w:pPr>
        <w:spacing w:after="100"/>
        <w:jc w:val="center"/>
      </w:pPr>
      <w:r>
        <w:rPr>
          <w:rFonts w:ascii="Arial" w:cs="Arial" w:eastAsia="Arial" w:hAnsi="Arial"/>
          <w:color w:val="5B2E86"/>
          <w:sz w:val="32"/>
          <w:szCs w:val="32"/>
        </w:rPr>
        <w:t xml:space="preserve">PRISMA Hyperspectral Satellite Imagery Processor</w:t>
      </w:r>
    </w:p>
    <w:p>
      <w:pPr>
        <w:spacing w:after="600"/>
        <w:jc w:val="center"/>
      </w:pPr>
      <w:r>
        <w:rPr>
          <w:rFonts w:ascii="Arial" w:cs="Arial" w:eastAsia="Arial" w:hAnsi="Arial"/>
          <w:color w:val="7A4CA5"/>
          <w:sz w:val="28"/>
          <w:szCs w:val="28"/>
        </w:rPr>
        <w:t xml:space="preserve">QGIS Plugin</w:t>
      </w:r>
    </w:p>
    <w:p>
      <w:pPr>
        <w:pBdr>
          <w:bottom w:val="single" w:color="5B2E86" w:sz="6" w:space="1"/>
        </w:pBdr>
        <w:spacing w:after="600"/>
        <w:jc w:val="center"/>
      </w:pPr>
    </w:p>
    <w:p>
      <w:pPr>
        <w:spacing w:after="400"/>
        <w:jc w:val="center"/>
      </w:pPr>
      <w:r>
        <w:rPr>
          <w:rFonts w:ascii="Arial" w:cs="Arial" w:eastAsia="Arial" w:hAnsi="Arial"/>
          <w:b/>
          <w:bCs/>
          <w:color w:val="3A1560"/>
          <w:sz w:val="40"/>
          <w:szCs w:val="40"/>
        </w:rPr>
        <w:t xml:space="preserve">User Guide</w:t>
      </w:r>
    </w:p>
    <w:p>
      <w:pPr>
        <w:spacing w:after="120"/>
        <w:jc w:val="center"/>
      </w:pPr>
      <w:r>
        <w:rPr>
          <w:rFonts w:ascii="Arial" w:cs="Arial" w:eastAsia="Arial" w:hAnsi="Arial"/>
          <w:color w:val="555555"/>
          <w:sz w:val="24"/>
          <w:szCs w:val="24"/>
        </w:rPr>
        <w:t xml:space="preserve">Version 1.0</w:t>
      </w:r>
    </w:p>
    <w:p>
      <w:pPr>
        <w:spacing w:after="400"/>
        <w:jc w:val="center"/>
      </w:pPr>
      <w:r>
        <w:rPr>
          <w:rFonts w:ascii="Arial" w:cs="Arial" w:eastAsia="Arial" w:hAnsi="Arial"/>
          <w:color w:val="555555"/>
          <w:sz w:val="24"/>
          <w:szCs w:val="24"/>
        </w:rPr>
        <w:t xml:space="preserve">February 2026</w:t>
      </w:r>
    </w:p>
    <w:p>
      <w:pPr>
        <w:spacing w:after="120"/>
        <w:jc w:val="center"/>
      </w:pPr>
      <w:r>
        <w:rPr>
          <w:rFonts w:ascii="Arial" w:cs="Arial" w:eastAsia="Arial" w:hAnsi="Arial"/>
          <w:color w:val="555555"/>
          <w:sz w:val="24"/>
          <w:szCs w:val="24"/>
        </w:rPr>
        <w:t xml:space="preserve">Author: Grant Boxer</w:t>
      </w:r>
    </w:p>
    <w:p>
      <w:pPr>
        <w:jc w:val="center"/>
      </w:pPr>
      <w:r>
        <w:rPr>
          <w:rFonts w:ascii="Arial" w:cs="Arial" w:eastAsia="Arial" w:hAnsi="Arial"/>
          <w:color w:val="5B2E86"/>
          <w:sz w:val="22"/>
          <w:szCs w:val="22"/>
        </w:rPr>
        <w:t xml:space="preserve">boxerg@iinet.net.au</w:t>
      </w:r>
    </w:p>
    <w:p>
      <w:pPr>
        <w:sectPr>
          <w:pgSz w:w="11906" w:h="16838" w:orient="portrait"/>
          <w:pgMar w:top="1440" w:right="1440" w:bottom="1440" w:left="1440" w:header="708" w:footer="708" w:gutter="0"/>
          <w:pgNumType/>
          <w:docGrid w:linePitch="360"/>
        </w:sectPr>
      </w:pPr>
    </w:p>
    <w:p>
      <w:pPr>
        <w:pStyle w:val="Heading1"/>
        <w:spacing w:after="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360" w:after="200"/>
      </w:pPr>
      <w:r>
        <w:t xml:space="preserve">1. Introduction</w:t>
      </w:r>
    </w:p>
    <w:p>
      <w:pPr>
        <w:pStyle w:val="Heading2"/>
        <w:spacing w:before="280" w:after="160"/>
      </w:pPr>
      <w:r>
        <w:t xml:space="preserve">1.1 Overview</w:t>
      </w:r>
    </w:p>
    <w:p>
      <w:pPr>
        <w:spacing w:after="120"/>
      </w:pPr>
      <w:r>
        <w:rPr>
          <w:rFonts w:ascii="Arial" w:cs="Arial" w:eastAsia="Arial" w:hAnsi="Arial"/>
          <w:sz w:val="22"/>
          <w:szCs w:val="22"/>
        </w:rPr>
        <w:t xml:space="preserve">The PRISMA_QGIS_v1_0 plugin automates the processing of PRISMA (PRecursore IperSpettrale della Missione Applicativa) hyperspectral satellite imagery within the QGIS desktop GIS environment. It generates a comprehensive suite of spectral indices used for geological mapping, mineral identification, alteration mapping, and environmental monitoring.</w:t>
      </w:r>
    </w:p>
    <w:p>
      <w:pPr>
        <w:spacing w:after="120"/>
      </w:pPr>
      <w:r>
        <w:rPr>
          <w:rFonts w:ascii="Arial" w:cs="Arial" w:eastAsia="Arial" w:hAnsi="Arial"/>
          <w:sz w:val="22"/>
          <w:szCs w:val="22"/>
        </w:rPr>
        <w:t xml:space="preserve">The plugin implements a complete processing chain of 119 steps that imports PRISMA Level 2D data, calculates over 50 spectral indices based on diagnostic absorption features, creates RGB composite images for visualisation, and automatically saves and loads results into your QGIS project.</w:t>
      </w:r>
    </w:p>
    <w:p>
      <w:pPr>
        <w:pStyle w:val="Heading2"/>
        <w:spacing w:before="280" w:after="160"/>
      </w:pPr>
      <w:r>
        <w:t xml:space="preserve">1.2 What is PRISMA?</w:t>
      </w:r>
    </w:p>
    <w:p>
      <w:pPr>
        <w:spacing w:after="120"/>
      </w:pPr>
      <w:r>
        <w:rPr>
          <w:rFonts w:ascii="Arial" w:cs="Arial" w:eastAsia="Arial" w:hAnsi="Arial"/>
          <w:sz w:val="22"/>
          <w:szCs w:val="22"/>
        </w:rPr>
        <w:t xml:space="preserve">PRISMA is an Italian Space Agency (ASI) Earth observation mission carrying a hyperspectral imaging sensor. The satellite acquires data in approximately 239 spectral bands covering the wavelength range from 400 to 2500 nm, combining a hyperspectral imager with a panchromatic camera at higher spatial resolution.</w:t>
      </w:r>
    </w:p>
    <w:p>
      <w:pPr>
        <w:spacing w:after="120"/>
      </w:pPr>
      <w:r>
        <w:rPr>
          <w:rFonts w:ascii="Arial" w:cs="Arial" w:eastAsia="Arial" w:hAnsi="Arial"/>
          <w:sz w:val="22"/>
          <w:szCs w:val="22"/>
        </w:rPr>
        <w:t xml:space="preserve">PRISMA data is distributed at several processing levels. This plugin is designed for Level 2D (L2D) products, which have been both geometrically corrected (orthorectified) and atmospherically corrected, providing surface reflectance values ready for spectral analysis.</w:t>
      </w:r>
    </w:p>
    <w:p>
      <w:pPr>
        <w:pStyle w:val="Heading2"/>
        <w:spacing w:before="280" w:after="160"/>
      </w:pPr>
      <w:r>
        <w:t xml:space="preserve">1.3 What Does This Plugin Do?</w:t>
      </w:r>
    </w:p>
    <w:p>
      <w:pPr>
        <w:spacing w:after="120"/>
      </w:pPr>
      <w:r>
        <w:rPr>
          <w:rFonts w:ascii="Arial" w:cs="Arial" w:eastAsia="Arial" w:hAnsi="Arial"/>
          <w:sz w:val="22"/>
          <w:szCs w:val="22"/>
        </w:rPr>
        <w:t xml:space="preserve">The plugin performs the following operations in a single automated workflow:</w:t>
      </w:r>
    </w:p>
    <w:p>
      <w:pPr>
        <w:pStyle w:val="ListParagraph"/>
        <w:numPr>
          <w:ilvl w:val="0"/>
          <w:numId w:val="2"/>
        </w:numPr>
        <w:spacing w:after="60"/>
      </w:pPr>
      <w:r>
        <w:rPr>
          <w:rFonts w:ascii="Arial" w:cs="Arial" w:eastAsia="Arial" w:hAnsi="Arial"/>
          <w:sz w:val="22"/>
          <w:szCs w:val="22"/>
        </w:rPr>
        <w:t xml:space="preserve">Imports PRISMA L2D data via the EnMAP-Box import algorithm, extracting both the spectral cube (VNIR/SWIR combined) and the panchromatic cube</w:t>
      </w:r>
    </w:p>
    <w:p>
      <w:pPr>
        <w:pStyle w:val="ListParagraph"/>
        <w:numPr>
          <w:ilvl w:val="0"/>
          <w:numId w:val="2"/>
        </w:numPr>
        <w:spacing w:after="60"/>
      </w:pPr>
      <w:r>
        <w:rPr>
          <w:rFonts w:ascii="Arial" w:cs="Arial" w:eastAsia="Arial" w:hAnsi="Arial"/>
          <w:sz w:val="22"/>
          <w:szCs w:val="22"/>
        </w:rPr>
        <w:t xml:space="preserve">Creates spectral subsets for targeted wavelength regions used in index calculations</w:t>
      </w:r>
    </w:p>
    <w:p>
      <w:pPr>
        <w:pStyle w:val="ListParagraph"/>
        <w:numPr>
          <w:ilvl w:val="0"/>
          <w:numId w:val="2"/>
        </w:numPr>
        <w:spacing w:after="60"/>
      </w:pPr>
      <w:r>
        <w:rPr>
          <w:rFonts w:ascii="Arial" w:cs="Arial" w:eastAsia="Arial" w:hAnsi="Arial"/>
          <w:sz w:val="22"/>
          <w:szCs w:val="22"/>
        </w:rPr>
        <w:t xml:space="preserve">Calculates over 50 spectral indices using band ratios and averaging formulas</w:t>
      </w:r>
    </w:p>
    <w:p>
      <w:pPr>
        <w:pStyle w:val="ListParagraph"/>
        <w:numPr>
          <w:ilvl w:val="0"/>
          <w:numId w:val="2"/>
        </w:numPr>
        <w:spacing w:after="60"/>
      </w:pPr>
      <w:r>
        <w:rPr>
          <w:rFonts w:ascii="Arial" w:cs="Arial" w:eastAsia="Arial" w:hAnsi="Arial"/>
          <w:sz w:val="22"/>
          <w:szCs w:val="22"/>
        </w:rPr>
        <w:t xml:space="preserve">Generates four RGB composite images for geological visualisation</w:t>
      </w:r>
    </w:p>
    <w:p>
      <w:pPr>
        <w:pStyle w:val="ListParagraph"/>
        <w:numPr>
          <w:ilvl w:val="0"/>
          <w:numId w:val="2"/>
        </w:numPr>
        <w:spacing w:after="60"/>
      </w:pPr>
      <w:r>
        <w:rPr>
          <w:rFonts w:ascii="Arial" w:cs="Arial" w:eastAsia="Arial" w:hAnsi="Arial"/>
          <w:sz w:val="22"/>
          <w:szCs w:val="22"/>
        </w:rPr>
        <w:t xml:space="preserve">Saves all 30 output products as compressed GeoTIFF files</w:t>
      </w:r>
    </w:p>
    <w:p>
      <w:pPr>
        <w:pStyle w:val="ListParagraph"/>
        <w:numPr>
          <w:ilvl w:val="0"/>
          <w:numId w:val="2"/>
        </w:numPr>
        <w:spacing w:after="60"/>
      </w:pPr>
      <w:r>
        <w:rPr>
          <w:rFonts w:ascii="Arial" w:cs="Arial" w:eastAsia="Arial" w:hAnsi="Arial"/>
          <w:sz w:val="22"/>
          <w:szCs w:val="22"/>
        </w:rPr>
        <w:t xml:space="preserve">Automatically loads all results into the current QGIS project with descriptive layer names</w:t>
      </w:r>
    </w:p>
    <w:p>
      <w:pPr>
        <w:pStyle w:val="Heading2"/>
        <w:spacing w:before="280" w:after="160"/>
      </w:pPr>
      <w:r>
        <w:t xml:space="preserve">1.4 Key Features</w:t>
      </w:r>
    </w:p>
    <w:p>
      <w:pPr>
        <w:pStyle w:val="ListParagraph"/>
        <w:numPr>
          <w:ilvl w:val="0"/>
          <w:numId w:val="2"/>
        </w:numPr>
        <w:spacing w:after="60"/>
      </w:pPr>
      <w:r>
        <w:rPr>
          <w:rFonts w:ascii="Arial" w:cs="Arial" w:eastAsia="Arial" w:hAnsi="Arial"/>
          <w:sz w:val="22"/>
          <w:szCs w:val="22"/>
        </w:rPr>
        <w:t xml:space="preserve">Single-click processing of entire PRISMA scenes</w:t>
      </w:r>
    </w:p>
    <w:p>
      <w:pPr>
        <w:pStyle w:val="ListParagraph"/>
        <w:numPr>
          <w:ilvl w:val="0"/>
          <w:numId w:val="2"/>
        </w:numPr>
        <w:spacing w:after="60"/>
      </w:pPr>
      <w:r>
        <w:rPr>
          <w:rFonts w:ascii="Arial" w:cs="Arial" w:eastAsia="Arial" w:hAnsi="Arial"/>
          <w:sz w:val="22"/>
          <w:szCs w:val="22"/>
        </w:rPr>
        <w:t xml:space="preserve">Real-time progress tracking with a 119-step progress bar</w:t>
      </w:r>
    </w:p>
    <w:p>
      <w:pPr>
        <w:pStyle w:val="ListParagraph"/>
        <w:numPr>
          <w:ilvl w:val="0"/>
          <w:numId w:val="2"/>
        </w:numPr>
        <w:spacing w:after="60"/>
      </w:pPr>
      <w:r>
        <w:rPr>
          <w:rFonts w:ascii="Arial" w:cs="Arial" w:eastAsia="Arial" w:hAnsi="Arial"/>
          <w:sz w:val="22"/>
          <w:szCs w:val="22"/>
        </w:rPr>
        <w:t xml:space="preserve">Cancellable at any processing step</w:t>
      </w:r>
    </w:p>
    <w:p>
      <w:pPr>
        <w:pStyle w:val="ListParagraph"/>
        <w:numPr>
          <w:ilvl w:val="0"/>
          <w:numId w:val="2"/>
        </w:numPr>
        <w:spacing w:after="60"/>
      </w:pPr>
      <w:r>
        <w:rPr>
          <w:rFonts w:ascii="Arial" w:cs="Arial" w:eastAsia="Arial" w:hAnsi="Arial"/>
          <w:sz w:val="22"/>
          <w:szCs w:val="22"/>
        </w:rPr>
        <w:t xml:space="preserve">Both spectral cube and panchromatic cube outputs</w:t>
      </w:r>
    </w:p>
    <w:p>
      <w:pPr>
        <w:pStyle w:val="ListParagraph"/>
        <w:numPr>
          <w:ilvl w:val="0"/>
          <w:numId w:val="2"/>
        </w:numPr>
        <w:spacing w:after="60"/>
      </w:pPr>
      <w:r>
        <w:rPr>
          <w:rFonts w:ascii="Arial" w:cs="Arial" w:eastAsia="Arial" w:hAnsi="Arial"/>
          <w:sz w:val="22"/>
          <w:szCs w:val="22"/>
        </w:rPr>
        <w:t xml:space="preserve">Compressed GeoTIFF output with LZW compression and BigTIFF support</w:t>
      </w:r>
    </w:p>
    <w:p>
      <w:pPr>
        <w:pStyle w:val="ListParagraph"/>
        <w:numPr>
          <w:ilvl w:val="0"/>
          <w:numId w:val="2"/>
        </w:numPr>
        <w:spacing w:after="60"/>
      </w:pPr>
      <w:r>
        <w:rPr>
          <w:rFonts w:ascii="Arial" w:cs="Arial" w:eastAsia="Arial" w:hAnsi="Arial"/>
          <w:sz w:val="22"/>
          <w:szCs w:val="22"/>
        </w:rPr>
        <w:t xml:space="preserve">Integration with EnMAP-Box and GDAL processing algorithms</w:t>
      </w:r>
    </w:p>
    <w:p>
      <w:r>
        <w:br w:type="page"/>
      </w:r>
    </w:p>
    <w:p>
      <w:pPr>
        <w:pStyle w:val="Heading1"/>
        <w:spacing w:before="360" w:after="200"/>
      </w:pPr>
      <w:r>
        <w:t xml:space="preserve">2. System Requirements</w:t>
      </w:r>
    </w:p>
    <w:p>
      <w:pPr>
        <w:pStyle w:val="Heading2"/>
        <w:spacing w:before="280" w:after="160"/>
      </w:pPr>
      <w:r>
        <w:t xml:space="preserve">2.1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QGIS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Version 3.0 or higher (3.16+ 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 (included with QGIS)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EnMAP-Box Plugin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PRISMA import and raster save tools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GDAL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Included with QGIS (used for raster calculations)</w:t>
            </w:r>
          </w:p>
        </w:tc>
      </w:tr>
    </w:tbl>
    <w:p>
      <w:pPr>
        <w:spacing w:after="60"/>
      </w:pPr>
    </w:p>
    <w:p>
      <w:pPr>
        <w:pStyle w:val="Heading2"/>
        <w:spacing w:before="280" w:after="160"/>
      </w:pPr>
      <w:r>
        <w:t xml:space="preserve">2.2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Recommendation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GB minimum, 16 GB 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Disk Space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GB free space for processing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Storage Type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SSD recommended for faster I/O</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Operating System</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Windows 10+, macOS 10.13+, or Linux</w:t>
            </w:r>
          </w:p>
        </w:tc>
      </w:tr>
    </w:tbl>
    <w:p>
      <w:pPr>
        <w:spacing w:after="60"/>
      </w:pPr>
    </w:p>
    <w:p>
      <w:pPr>
        <w:pStyle w:val="Heading2"/>
        <w:spacing w:before="280" w:after="160"/>
      </w:pPr>
      <w:r>
        <w:t xml:space="preserve">2.3 Input Data Requirements</w:t>
      </w:r>
    </w:p>
    <w:p>
      <w:pPr>
        <w:spacing w:after="120"/>
      </w:pPr>
      <w:r>
        <w:rPr>
          <w:rFonts w:ascii="Arial" w:cs="Arial" w:eastAsia="Arial" w:hAnsi="Arial"/>
          <w:sz w:val="22"/>
          <w:szCs w:val="22"/>
        </w:rPr>
        <w:t xml:space="preserve">You will need PRISMA Level 2D (L2D) data in HDF5 format (.he5). PRISMA data can be requested from the Italian Space Agency (ASI) through the PRISMA portal. The L2D product level provides geometrically and atmospherically corrected surface reflectance data suitable for mineral mapping.</w:t>
      </w:r>
    </w:p>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PRISMA HDF5 files are typically 2–5 GB in size. Ensure you have sufficient disk space for both the input file and the processing outputs.</w:t>
      </w:r>
    </w:p>
    <w:p>
      <w:r>
        <w:br w:type="page"/>
      </w:r>
    </w:p>
    <w:p>
      <w:pPr>
        <w:pStyle w:val="Heading1"/>
        <w:spacing w:before="360" w:after="200"/>
      </w:pPr>
      <w:r>
        <w:t xml:space="preserve">3. Installation</w:t>
      </w:r>
    </w:p>
    <w:p>
      <w:pPr>
        <w:pStyle w:val="Heading2"/>
        <w:spacing w:before="280" w:after="160"/>
      </w:pPr>
      <w:r>
        <w:t xml:space="preserve">3.1 Installing the EnMAP-Box Plugin (Prerequisite)</w:t>
      </w:r>
    </w:p>
    <w:p>
      <w:pPr>
        <w:spacing w:after="120"/>
      </w:pPr>
      <w:r>
        <w:rPr>
          <w:rFonts w:ascii="Arial" w:cs="Arial" w:eastAsia="Arial" w:hAnsi="Arial"/>
          <w:sz w:val="22"/>
          <w:szCs w:val="22"/>
        </w:rPr>
        <w:t xml:space="preserve">The PRISMA_QGIS_v1_0 plugin depends on the EnMAP-Box plugin for the PRISMA data import algorithm. Install it first:</w:t>
      </w:r>
    </w:p>
    <w:p>
      <w:pPr>
        <w:pStyle w:val="ListParagraph"/>
        <w:numPr>
          <w:ilvl w:val="0"/>
          <w:numId w:val="3"/>
        </w:numPr>
        <w:spacing w:after="60"/>
      </w:pPr>
      <w:r>
        <w:rPr>
          <w:rFonts w:ascii="Arial" w:cs="Arial" w:eastAsia="Arial" w:hAnsi="Arial"/>
          <w:sz w:val="22"/>
          <w:szCs w:val="22"/>
        </w:rPr>
        <w:t xml:space="preserve">Open QGIS</w:t>
      </w:r>
    </w:p>
    <w:p>
      <w:pPr>
        <w:pStyle w:val="ListParagraph"/>
        <w:numPr>
          <w:ilvl w:val="0"/>
          <w:numId w:val="3"/>
        </w:numPr>
        <w:spacing w:after="60"/>
      </w:pPr>
      <w:r>
        <w:rPr>
          <w:rFonts w:ascii="Arial" w:cs="Arial" w:eastAsia="Arial" w:hAnsi="Arial"/>
          <w:sz w:val="22"/>
          <w:szCs w:val="22"/>
        </w:rPr>
        <w:t xml:space="preserve">Navigate to Plugins &gt; Manage and Install Plugins</w:t>
      </w:r>
    </w:p>
    <w:p>
      <w:pPr>
        <w:pStyle w:val="ListParagraph"/>
        <w:numPr>
          <w:ilvl w:val="0"/>
          <w:numId w:val="3"/>
        </w:numPr>
        <w:spacing w:after="60"/>
      </w:pPr>
      <w:r>
        <w:rPr>
          <w:rFonts w:ascii="Arial" w:cs="Arial" w:eastAsia="Arial" w:hAnsi="Arial"/>
          <w:sz w:val="22"/>
          <w:szCs w:val="22"/>
        </w:rPr>
        <w:t xml:space="preserve">Click the "All" tab and search for "EnMAP-Box"</w:t>
      </w:r>
    </w:p>
    <w:p>
      <w:pPr>
        <w:pStyle w:val="ListParagraph"/>
        <w:numPr>
          <w:ilvl w:val="0"/>
          <w:numId w:val="3"/>
        </w:numPr>
        <w:spacing w:after="60"/>
      </w:pPr>
      <w:r>
        <w:rPr>
          <w:rFonts w:ascii="Arial" w:cs="Arial" w:eastAsia="Arial" w:hAnsi="Arial"/>
          <w:sz w:val="22"/>
          <w:szCs w:val="22"/>
        </w:rPr>
        <w:t xml:space="preserve">Click "Install Plugin" and wait for installation to complete</w:t>
      </w:r>
    </w:p>
    <w:p>
      <w:pPr>
        <w:pStyle w:val="ListParagraph"/>
        <w:numPr>
          <w:ilvl w:val="0"/>
          <w:numId w:val="3"/>
        </w:numPr>
        <w:spacing w:after="60"/>
      </w:pPr>
      <w:r>
        <w:rPr>
          <w:rFonts w:ascii="Arial" w:cs="Arial" w:eastAsia="Arial" w:hAnsi="Arial"/>
          <w:sz w:val="22"/>
          <w:szCs w:val="22"/>
        </w:rPr>
        <w:t xml:space="preserve">Restart QGIS after installation</w:t>
      </w:r>
    </w:p>
    <w:p>
      <w:pPr>
        <w:pStyle w:val="Heading2"/>
        <w:spacing w:before="280" w:after="160"/>
      </w:pPr>
      <w:r>
        <w:t xml:space="preserve">3.2 Installing PRISMA_QGIS_v1_0</w:t>
      </w:r>
    </w:p>
    <w:p>
      <w:pPr>
        <w:pStyle w:val="Heading3"/>
        <w:spacing w:before="200" w:after="120"/>
      </w:pPr>
      <w:r>
        <w:t xml:space="preserve">Method 1: Install from ZIP File</w:t>
      </w:r>
    </w:p>
    <w:p>
      <w:pPr>
        <w:pStyle w:val="ListParagraph"/>
        <w:numPr>
          <w:ilvl w:val="0"/>
          <w:numId w:val="4"/>
        </w:numPr>
        <w:spacing w:after="60"/>
      </w:pPr>
      <w:r>
        <w:rPr>
          <w:rFonts w:ascii="Arial" w:cs="Arial" w:eastAsia="Arial" w:hAnsi="Arial"/>
          <w:sz w:val="22"/>
          <w:szCs w:val="22"/>
        </w:rPr>
        <w:t xml:space="preserve">Download the PRISMA_QGIS_v1_0.zip file</w:t>
      </w:r>
    </w:p>
    <w:p>
      <w:pPr>
        <w:pStyle w:val="ListParagraph"/>
        <w:numPr>
          <w:ilvl w:val="0"/>
          <w:numId w:val="4"/>
        </w:numPr>
        <w:spacing w:after="60"/>
      </w:pPr>
      <w:r>
        <w:rPr>
          <w:rFonts w:ascii="Arial" w:cs="Arial" w:eastAsia="Arial" w:hAnsi="Arial"/>
          <w:sz w:val="22"/>
          <w:szCs w:val="22"/>
        </w:rPr>
        <w:t xml:space="preserve">In QGIS, go to Plugins &gt; Manage and Install Plugins</w:t>
      </w:r>
    </w:p>
    <w:p>
      <w:pPr>
        <w:pStyle w:val="ListParagraph"/>
        <w:numPr>
          <w:ilvl w:val="0"/>
          <w:numId w:val="4"/>
        </w:numPr>
        <w:spacing w:after="60"/>
      </w:pPr>
      <w:r>
        <w:rPr>
          <w:rFonts w:ascii="Arial" w:cs="Arial" w:eastAsia="Arial" w:hAnsi="Arial"/>
          <w:sz w:val="22"/>
          <w:szCs w:val="22"/>
        </w:rPr>
        <w:t xml:space="preserve">Click "Install from ZIP"</w:t>
      </w:r>
    </w:p>
    <w:p>
      <w:pPr>
        <w:pStyle w:val="ListParagraph"/>
        <w:numPr>
          <w:ilvl w:val="0"/>
          <w:numId w:val="4"/>
        </w:numPr>
        <w:spacing w:after="60"/>
      </w:pPr>
      <w:r>
        <w:rPr>
          <w:rFonts w:ascii="Arial" w:cs="Arial" w:eastAsia="Arial" w:hAnsi="Arial"/>
          <w:sz w:val="22"/>
          <w:szCs w:val="22"/>
        </w:rPr>
        <w:t xml:space="preserve">Browse to and select the downloaded ZIP file</w:t>
      </w:r>
    </w:p>
    <w:p>
      <w:pPr>
        <w:pStyle w:val="ListParagraph"/>
        <w:numPr>
          <w:ilvl w:val="0"/>
          <w:numId w:val="4"/>
        </w:numPr>
        <w:spacing w:after="60"/>
      </w:pPr>
      <w:r>
        <w:rPr>
          <w:rFonts w:ascii="Arial" w:cs="Arial" w:eastAsia="Arial" w:hAnsi="Arial"/>
          <w:sz w:val="22"/>
          <w:szCs w:val="22"/>
        </w:rPr>
        <w:t xml:space="preserve">Click "Install Plugin"</w:t>
      </w:r>
    </w:p>
    <w:p>
      <w:pPr>
        <w:pStyle w:val="Heading3"/>
        <w:spacing w:before="200" w:after="120"/>
      </w:pPr>
      <w:r>
        <w:t xml:space="preserve">Method 2: Manual Installation</w:t>
      </w:r>
    </w:p>
    <w:p>
      <w:pPr>
        <w:spacing w:after="120"/>
      </w:pPr>
      <w:r>
        <w:rPr>
          <w:rFonts w:ascii="Arial" w:cs="Arial" w:eastAsia="Arial" w:hAnsi="Arial"/>
          <w:sz w:val="22"/>
          <w:szCs w:val="22"/>
        </w:rPr>
        <w:t xml:space="preserve">Copy the PRISMA_QGIS_v1_0 folder to your QGIS plugins directory:</w:t>
      </w:r>
    </w:p>
    <w:p>
      <w:pPr>
        <w:spacing w:after="120"/>
      </w:pPr>
      <w:r>
        <w:rPr>
          <w:rFonts w:ascii="Arial" w:cs="Arial" w:eastAsia="Arial" w:hAnsi="Arial"/>
          <w:b/>
          <w:bCs/>
          <w:sz w:val="22"/>
          <w:szCs w:val="22"/>
        </w:rPr>
        <w:t xml:space="preserve">Windows: </w:t>
      </w:r>
      <w:r>
        <w:rPr>
          <w:rFonts w:ascii="Arial" w:cs="Arial" w:eastAsia="Arial" w:hAnsi="Arial"/>
          <w:sz w:val="22"/>
          <w:szCs w:val="22"/>
        </w:rPr>
        <w:t xml:space="preserve">C:\Users\&lt;username&gt;\AppData\Roaming\QGIS\QGIS3\profiles\default\python\plugins\</w:t>
      </w:r>
    </w:p>
    <w:p>
      <w:pPr>
        <w:spacing w:after="120"/>
      </w:pPr>
      <w:r>
        <w:rPr>
          <w:rFonts w:ascii="Arial" w:cs="Arial" w:eastAsia="Arial" w:hAnsi="Arial"/>
          <w:b/>
          <w:bCs/>
          <w:sz w:val="22"/>
          <w:szCs w:val="22"/>
        </w:rPr>
        <w:t xml:space="preserve">macOS: </w:t>
      </w:r>
      <w:r>
        <w:rPr>
          <w:rFonts w:ascii="Arial" w:cs="Arial" w:eastAsia="Arial" w:hAnsi="Arial"/>
          <w:sz w:val="22"/>
          <w:szCs w:val="22"/>
        </w:rPr>
        <w:t xml:space="preserve">~/Library/Application Support/QGIS/QGIS3/profiles/default/python/plugins/</w:t>
      </w:r>
    </w:p>
    <w:p>
      <w:pPr>
        <w:spacing w:after="120"/>
      </w:pPr>
      <w:r>
        <w:rPr>
          <w:rFonts w:ascii="Arial" w:cs="Arial" w:eastAsia="Arial" w:hAnsi="Arial"/>
          <w:b/>
          <w:bCs/>
          <w:sz w:val="22"/>
          <w:szCs w:val="22"/>
        </w:rPr>
        <w:t xml:space="preserve">Linux: </w:t>
      </w:r>
      <w:r>
        <w:rPr>
          <w:rFonts w:ascii="Arial" w:cs="Arial" w:eastAsia="Arial" w:hAnsi="Arial"/>
          <w:sz w:val="22"/>
          <w:szCs w:val="22"/>
        </w:rPr>
        <w:t xml:space="preserve">~/.local/share/QGIS/QGIS3/profiles/default/python/plugins/</w:t>
      </w:r>
    </w:p>
    <w:p>
      <w:pPr>
        <w:spacing w:after="60"/>
      </w:pPr>
    </w:p>
    <w:p>
      <w:pPr>
        <w:spacing w:after="120"/>
      </w:pPr>
      <w:r>
        <w:rPr>
          <w:rFonts w:ascii="Arial" w:cs="Arial" w:eastAsia="Arial" w:hAnsi="Arial"/>
          <w:sz w:val="22"/>
          <w:szCs w:val="22"/>
        </w:rPr>
        <w:t xml:space="preserve">After copying the folder, open QGIS, go to Plugins &gt; Manage and Install Plugins, find "PRISMA Processor" in the Installed tab, and enable it by ticking the checkbox.</w:t>
      </w:r>
    </w:p>
    <w:p>
      <w:pPr>
        <w:pStyle w:val="Heading2"/>
        <w:spacing w:before="280" w:after="160"/>
      </w:pPr>
      <w:r>
        <w:t xml:space="preserve">3.3 Verifying Installation</w:t>
      </w:r>
    </w:p>
    <w:p>
      <w:pPr>
        <w:spacing w:after="120"/>
      </w:pPr>
      <w:r>
        <w:rPr>
          <w:rFonts w:ascii="Arial" w:cs="Arial" w:eastAsia="Arial" w:hAnsi="Arial"/>
          <w:sz w:val="22"/>
          <w:szCs w:val="22"/>
        </w:rPr>
        <w:t xml:space="preserve">To confirm the plugin is installed correctly:</w:t>
      </w:r>
    </w:p>
    <w:p>
      <w:pPr>
        <w:pStyle w:val="ListParagraph"/>
        <w:numPr>
          <w:ilvl w:val="0"/>
          <w:numId w:val="5"/>
        </w:numPr>
        <w:spacing w:after="60"/>
      </w:pPr>
      <w:r>
        <w:rPr>
          <w:rFonts w:ascii="Arial" w:cs="Arial" w:eastAsia="Arial" w:hAnsi="Arial"/>
          <w:sz w:val="22"/>
          <w:szCs w:val="22"/>
        </w:rPr>
        <w:t xml:space="preserve">Open QGIS</w:t>
      </w:r>
    </w:p>
    <w:p>
      <w:pPr>
        <w:pStyle w:val="ListParagraph"/>
        <w:numPr>
          <w:ilvl w:val="0"/>
          <w:numId w:val="5"/>
        </w:numPr>
        <w:spacing w:after="60"/>
      </w:pPr>
      <w:r>
        <w:rPr>
          <w:rFonts w:ascii="Arial" w:cs="Arial" w:eastAsia="Arial" w:hAnsi="Arial"/>
          <w:sz w:val="22"/>
          <w:szCs w:val="22"/>
        </w:rPr>
        <w:t xml:space="preserve">Open the Processing Toolbox via Processing &gt; Toolbox</w:t>
      </w:r>
    </w:p>
    <w:p>
      <w:pPr>
        <w:pStyle w:val="ListParagraph"/>
        <w:numPr>
          <w:ilvl w:val="0"/>
          <w:numId w:val="5"/>
        </w:numPr>
        <w:spacing w:after="60"/>
      </w:pPr>
      <w:r>
        <w:rPr>
          <w:rFonts w:ascii="Arial" w:cs="Arial" w:eastAsia="Arial" w:hAnsi="Arial"/>
          <w:sz w:val="22"/>
          <w:szCs w:val="22"/>
        </w:rPr>
        <w:t xml:space="preserve">Search for "PRISMA" in the search bar</w:t>
      </w:r>
    </w:p>
    <w:p>
      <w:pPr>
        <w:pStyle w:val="ListParagraph"/>
        <w:numPr>
          <w:ilvl w:val="0"/>
          <w:numId w:val="5"/>
        </w:numPr>
        <w:spacing w:after="60"/>
      </w:pPr>
      <w:r>
        <w:rPr>
          <w:rFonts w:ascii="Arial" w:cs="Arial" w:eastAsia="Arial" w:hAnsi="Arial"/>
          <w:sz w:val="22"/>
          <w:szCs w:val="22"/>
        </w:rPr>
        <w:t xml:space="preserve">You should see "PRISMA_ENVI_Indices" listed under the "RemoteSensing" group within the PRISMA Processor provider</w:t>
      </w:r>
    </w:p>
    <w:p>
      <w:pPr>
        <w:spacing w:after="60"/>
      </w:pPr>
    </w:p>
    <w:p>
      <w:pPr>
        <w:spacing w:after="120"/>
      </w:pPr>
      <w:r>
        <w:rPr>
          <w:rFonts w:ascii="Arial" w:cs="Arial" w:eastAsia="Arial" w:hAnsi="Arial"/>
          <w:sz w:val="22"/>
          <w:szCs w:val="22"/>
        </w:rPr>
        <w:t xml:space="preserve">You can also access the plugin from the menu bar: Raster &gt; PRISMA Processor.</w:t>
      </w:r>
    </w:p>
    <w:p>
      <w:r>
        <w:br w:type="page"/>
      </w:r>
    </w:p>
    <w:p>
      <w:pPr>
        <w:pStyle w:val="Heading1"/>
        <w:spacing w:before="360" w:after="200"/>
      </w:pPr>
      <w:r>
        <w:t xml:space="preserve">4. Processing Workflow</w:t>
      </w:r>
    </w:p>
    <w:p>
      <w:pPr>
        <w:pStyle w:val="Heading2"/>
        <w:spacing w:before="280" w:after="160"/>
      </w:pPr>
      <w:r>
        <w:t xml:space="preserve">4.1 Preparing Your Data</w:t>
      </w:r>
    </w:p>
    <w:p>
      <w:pPr>
        <w:spacing w:after="120"/>
      </w:pPr>
      <w:r>
        <w:rPr>
          <w:rFonts w:ascii="Arial" w:cs="Arial" w:eastAsia="Arial" w:hAnsi="Arial"/>
          <w:sz w:val="22"/>
          <w:szCs w:val="22"/>
        </w:rPr>
        <w:t xml:space="preserve">Before running the plugin, ensure you have:</w:t>
      </w:r>
    </w:p>
    <w:p>
      <w:pPr>
        <w:pStyle w:val="ListParagraph"/>
        <w:numPr>
          <w:ilvl w:val="0"/>
          <w:numId w:val="2"/>
        </w:numPr>
        <w:spacing w:after="60"/>
      </w:pPr>
      <w:r>
        <w:rPr>
          <w:rFonts w:ascii="Arial" w:cs="Arial" w:eastAsia="Arial" w:hAnsi="Arial"/>
          <w:sz w:val="22"/>
          <w:szCs w:val="22"/>
        </w:rPr>
        <w:t xml:space="preserve">A PRISMA L2D product file in HDF5 format (.he5)</w:t>
      </w:r>
    </w:p>
    <w:p>
      <w:pPr>
        <w:pStyle w:val="ListParagraph"/>
        <w:numPr>
          <w:ilvl w:val="0"/>
          <w:numId w:val="2"/>
        </w:numPr>
        <w:spacing w:after="60"/>
      </w:pPr>
      <w:r>
        <w:rPr>
          <w:rFonts w:ascii="Arial" w:cs="Arial" w:eastAsia="Arial" w:hAnsi="Arial"/>
          <w:sz w:val="22"/>
          <w:szCs w:val="22"/>
        </w:rPr>
        <w:t xml:space="preserve">An existing output directory with write permissions</w:t>
      </w:r>
    </w:p>
    <w:p>
      <w:pPr>
        <w:pStyle w:val="ListParagraph"/>
        <w:numPr>
          <w:ilvl w:val="0"/>
          <w:numId w:val="2"/>
        </w:numPr>
        <w:spacing w:after="60"/>
      </w:pPr>
      <w:r>
        <w:rPr>
          <w:rFonts w:ascii="Arial" w:cs="Arial" w:eastAsia="Arial" w:hAnsi="Arial"/>
          <w:sz w:val="22"/>
          <w:szCs w:val="22"/>
        </w:rPr>
        <w:t xml:space="preserve">Sufficient disk space (at least 15 GB free for processing and outputs)</w:t>
      </w:r>
    </w:p>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The default output directory is C:\temp\processing. On macOS or Linux, or if you prefer a different location, change this to a valid directory path before running.</w:t>
      </w:r>
    </w:p>
    <w:p>
      <w:pPr>
        <w:pStyle w:val="Heading2"/>
        <w:spacing w:before="280" w:after="160"/>
      </w:pPr>
      <w:r>
        <w:t xml:space="preserve">4.2 Accessing the Plugin</w:t>
      </w:r>
    </w:p>
    <w:p>
      <w:pPr>
        <w:spacing w:after="120"/>
      </w:pPr>
      <w:r>
        <w:rPr>
          <w:rFonts w:ascii="Arial" w:cs="Arial" w:eastAsia="Arial" w:hAnsi="Arial"/>
          <w:sz w:val="22"/>
          <w:szCs w:val="22"/>
        </w:rPr>
        <w:t xml:space="preserve">There are two ways to open the processing dialog:</w:t>
      </w:r>
    </w:p>
    <w:p>
      <w:pPr>
        <w:spacing w:after="60"/>
      </w:pPr>
    </w:p>
    <w:p>
      <w:pPr>
        <w:spacing w:after="120"/>
      </w:pPr>
      <w:r>
        <w:rPr>
          <w:rFonts w:ascii="Arial" w:cs="Arial" w:eastAsia="Arial" w:hAnsi="Arial"/>
          <w:b/>
          <w:bCs/>
          <w:sz w:val="22"/>
          <w:szCs w:val="22"/>
        </w:rPr>
        <w:t xml:space="preserve">Method 1 – Raster Menu: </w:t>
      </w:r>
      <w:r>
        <w:rPr>
          <w:rFonts w:ascii="Arial" w:cs="Arial" w:eastAsia="Arial" w:hAnsi="Arial"/>
          <w:sz w:val="22"/>
          <w:szCs w:val="22"/>
        </w:rPr>
        <w:t xml:space="preserve">Go to Raster &gt; PRISMA Processor. The processing dialog will open automatically.</w:t>
      </w:r>
    </w:p>
    <w:p>
      <w:pPr>
        <w:spacing w:after="60"/>
      </w:pPr>
    </w:p>
    <w:p>
      <w:pPr>
        <w:spacing w:after="120"/>
      </w:pPr>
      <w:r>
        <w:rPr>
          <w:rFonts w:ascii="Arial" w:cs="Arial" w:eastAsia="Arial" w:hAnsi="Arial"/>
          <w:b/>
          <w:bCs/>
          <w:sz w:val="22"/>
          <w:szCs w:val="22"/>
        </w:rPr>
        <w:t xml:space="preserve">Method 2 – Processing Toolbox: </w:t>
      </w:r>
      <w:r>
        <w:rPr>
          <w:rFonts w:ascii="Arial" w:cs="Arial" w:eastAsia="Arial" w:hAnsi="Arial"/>
          <w:sz w:val="22"/>
          <w:szCs w:val="22"/>
        </w:rPr>
        <w:t xml:space="preserve">Open Processing &gt; Toolbox, expand the PRISMA Processor provider, navigate to RemoteSensing, and double-click "PRISMA_ENVI_Indices".</w:t>
      </w:r>
    </w:p>
    <w:p>
      <w:pPr>
        <w:pStyle w:val="Heading2"/>
        <w:spacing w:before="280" w:after="160"/>
      </w:pPr>
      <w:r>
        <w:t xml:space="preserve">4.3 Configuring Parameters</w:t>
      </w:r>
    </w:p>
    <w:p>
      <w:pPr>
        <w:spacing w:after="120"/>
      </w:pPr>
      <w:r>
        <w:rPr>
          <w:rFonts w:ascii="Arial" w:cs="Arial" w:eastAsia="Arial" w:hAnsi="Arial"/>
          <w:sz w:val="22"/>
          <w:szCs w:val="22"/>
        </w:rPr>
        <w:t xml:space="preserve">The plugin requires three parameters: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W w:type="dxa" w:w="28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Parameter</w:t>
            </w:r>
          </w:p>
        </w:tc>
        <w:tc>
          <w:tcPr>
            <w:tcW w:type="dxa" w:w="30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c>
          <w:tcPr>
            <w:tcW w:type="dxa" w:w="3226"/>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Example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Output_prefix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 text prefix added to all output filenames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Laverton_20240115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Select Directory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Folder where all output GeoTIFF files will be saved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C:\temp\processing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Select PRISMA file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The PRISMA L2D HDF5 file (.he5) to process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PRS_L2D_STD_...he5</w:t>
            </w:r>
          </w:p>
        </w:tc>
      </w:tr>
    </w:tbl>
    <w:p>
      <w:pPr>
        <w:spacing w:after="60"/>
      </w:pPr>
    </w:p>
    <w:p>
      <w:pPr>
        <w:spacing w:after="120"/>
        <w:ind w:left="360"/>
      </w:pPr>
      <w:r>
        <w:rPr>
          <w:rFonts w:ascii="Arial" w:cs="Arial" w:eastAsia="Arial" w:hAnsi="Arial"/>
          <w:b/>
          <w:bCs/>
          <w:i/>
          <w:iCs/>
          <w:color w:val="5B2E86"/>
          <w:sz w:val="22"/>
          <w:szCs w:val="22"/>
        </w:rPr>
        <w:t xml:space="preserve">Tip: </w:t>
      </w:r>
      <w:r>
        <w:rPr>
          <w:rFonts w:ascii="Arial" w:cs="Arial" w:eastAsia="Arial" w:hAnsi="Arial"/>
          <w:i/>
          <w:iCs/>
          <w:color w:val="5B2E86"/>
          <w:sz w:val="22"/>
          <w:szCs w:val="22"/>
        </w:rPr>
        <w:t xml:space="preserve">Use a descriptive prefix that includes the location name and acquisition date, for example "Laverton_20240115". This makes it easy to identify outputs from different scenes.</w:t>
      </w:r>
    </w:p>
    <w:p>
      <w:pPr>
        <w:spacing w:after="120"/>
        <w:ind w:left="360"/>
      </w:pPr>
      <w:r>
        <w:rPr>
          <w:rFonts w:ascii="Arial" w:cs="Arial" w:eastAsia="Arial" w:hAnsi="Arial"/>
          <w:b/>
          <w:bCs/>
          <w:i/>
          <w:iCs/>
          <w:color w:val="5B2E86"/>
          <w:sz w:val="22"/>
          <w:szCs w:val="22"/>
        </w:rPr>
        <w:t xml:space="preserve">Tip: </w:t>
      </w:r>
      <w:r>
        <w:rPr>
          <w:rFonts w:ascii="Arial" w:cs="Arial" w:eastAsia="Arial" w:hAnsi="Arial"/>
          <w:i/>
          <w:iCs/>
          <w:color w:val="5B2E86"/>
          <w:sz w:val="22"/>
          <w:szCs w:val="22"/>
        </w:rPr>
        <w:t xml:space="preserve">Ensure the output directory exists before running the algorithm. The plugin will not create it automatically.</w:t>
      </w:r>
    </w:p>
    <w:p>
      <w:pPr>
        <w:pStyle w:val="Heading2"/>
        <w:spacing w:before="280" w:after="160"/>
      </w:pPr>
      <w:r>
        <w:t xml:space="preserve">4.4 Running the Algorithm</w:t>
      </w:r>
    </w:p>
    <w:p>
      <w:pPr>
        <w:pStyle w:val="ListParagraph"/>
        <w:numPr>
          <w:ilvl w:val="0"/>
          <w:numId w:val="6"/>
        </w:numPr>
        <w:spacing w:after="60"/>
      </w:pPr>
      <w:r>
        <w:rPr>
          <w:rFonts w:ascii="Arial" w:cs="Arial" w:eastAsia="Arial" w:hAnsi="Arial"/>
          <w:sz w:val="22"/>
          <w:szCs w:val="22"/>
        </w:rPr>
        <w:t xml:space="preserve">Click "Run" to start processing</w:t>
      </w:r>
    </w:p>
    <w:p>
      <w:pPr>
        <w:pStyle w:val="ListParagraph"/>
        <w:numPr>
          <w:ilvl w:val="0"/>
          <w:numId w:val="6"/>
        </w:numPr>
        <w:spacing w:after="60"/>
      </w:pPr>
      <w:r>
        <w:rPr>
          <w:rFonts w:ascii="Arial" w:cs="Arial" w:eastAsia="Arial" w:hAnsi="Arial"/>
          <w:sz w:val="22"/>
          <w:szCs w:val="22"/>
        </w:rPr>
        <w:t xml:space="preserve">Monitor progress in the log panel at the bottom of the dialog</w:t>
      </w:r>
    </w:p>
    <w:p>
      <w:pPr>
        <w:pStyle w:val="ListParagraph"/>
        <w:numPr>
          <w:ilvl w:val="0"/>
          <w:numId w:val="6"/>
        </w:numPr>
        <w:spacing w:after="60"/>
      </w:pPr>
      <w:r>
        <w:rPr>
          <w:rFonts w:ascii="Arial" w:cs="Arial" w:eastAsia="Arial" w:hAnsi="Arial"/>
          <w:sz w:val="22"/>
          <w:szCs w:val="22"/>
        </w:rPr>
        <w:t xml:space="preserve">The progress bar shows completion across all 119 processing steps</w:t>
      </w:r>
    </w:p>
    <w:p>
      <w:pPr>
        <w:pStyle w:val="ListParagraph"/>
        <w:numPr>
          <w:ilvl w:val="0"/>
          <w:numId w:val="6"/>
        </w:numPr>
        <w:spacing w:after="60"/>
      </w:pPr>
      <w:r>
        <w:rPr>
          <w:rFonts w:ascii="Arial" w:cs="Arial" w:eastAsia="Arial" w:hAnsi="Arial"/>
          <w:sz w:val="22"/>
          <w:szCs w:val="22"/>
        </w:rPr>
        <w:t xml:space="preserve">Processing can be cancelled at any step by clicking the Cancel button</w:t>
      </w:r>
    </w:p>
    <w:p>
      <w:pPr>
        <w:pStyle w:val="Heading2"/>
        <w:spacing w:before="280" w:after="160"/>
      </w:pPr>
      <w:r>
        <w:t xml:space="preserve">4.5 Processing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Scene Size</w:t>
            </w:r>
          </w:p>
        </w:tc>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Approximate Time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 (&lt; 100 km²)</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5–10 minutes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 (100–500 km²)</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15–25 minutes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Large (&gt; 500 km²)</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30–60 minutes</w:t>
            </w:r>
          </w:p>
        </w:tc>
      </w:tr>
    </w:tbl>
    <w:p>
      <w:r>
        <w:br w:type="page"/>
      </w:r>
    </w:p>
    <w:p>
      <w:pPr>
        <w:pStyle w:val="Heading1"/>
        <w:spacing w:before="360" w:after="200"/>
      </w:pPr>
      <w:r>
        <w:t xml:space="preserve">5. Output Products</w:t>
      </w:r>
    </w:p>
    <w:p>
      <w:pPr>
        <w:pStyle w:val="Heading2"/>
        <w:spacing w:before="280" w:after="160"/>
      </w:pPr>
      <w:r>
        <w:t xml:space="preserve">5.1 Overview</w:t>
      </w:r>
    </w:p>
    <w:p>
      <w:pPr>
        <w:spacing w:after="120"/>
      </w:pPr>
      <w:r>
        <w:rPr>
          <w:rFonts w:ascii="Arial" w:cs="Arial" w:eastAsia="Arial" w:hAnsi="Arial"/>
          <w:sz w:val="22"/>
          <w:szCs w:val="22"/>
        </w:rPr>
        <w:t xml:space="preserve">The plugin generates 30 output GeoTIFF files comprising spectral indices, individual band extracts, the panchromatic image, and RGB composite images. All files are saved with the naming convention {prefix}_{product_name}.tif.</w:t>
      </w:r>
    </w:p>
    <w:p>
      <w:pPr>
        <w:spacing w:after="120"/>
      </w:pPr>
      <w:r>
        <w:rPr>
          <w:rFonts w:ascii="Arial" w:cs="Arial" w:eastAsia="Arial" w:hAnsi="Arial"/>
          <w:sz w:val="22"/>
          <w:szCs w:val="22"/>
        </w:rPr>
        <w:t xml:space="preserve">All output files are automatically loaded into the current QGIS project with descriptive layer names upon completion.</w:t>
      </w:r>
    </w:p>
    <w:p>
      <w:pPr>
        <w:pStyle w:val="Heading2"/>
        <w:spacing w:before="280" w:after="160"/>
      </w:pPr>
      <w:r>
        <w:t xml:space="preserve">5.2 Output File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513"/>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Format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GeoTIFF (.tif)</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Type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Float32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Compression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LZW</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Interleave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Band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Predictor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(horizontal differencing)</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BigTIFF</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Enabled</w:t>
            </w:r>
          </w:p>
        </w:tc>
      </w:tr>
    </w:tbl>
    <w:p>
      <w:pPr>
        <w:pStyle w:val="Heading2"/>
        <w:spacing w:before="280" w:after="160"/>
      </w:pPr>
      <w:r>
        <w:t xml:space="preserve">5.3 Complete Output File List</w:t>
      </w:r>
    </w:p>
    <w:p>
      <w:pPr>
        <w:spacing w:after="120"/>
      </w:pPr>
      <w:r>
        <w:rPr>
          <w:rFonts w:ascii="Arial" w:cs="Arial" w:eastAsia="Arial" w:hAnsi="Arial"/>
          <w:sz w:val="22"/>
          <w:szCs w:val="22"/>
        </w:rPr>
        <w:t xml:space="preserve">The following table lists all 30 output files, their corresponding QGIS layer names, and a brief description.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26"/>
      </w:tblGrid>
      <w:tr>
        <w:tc>
          <w:tcPr>
            <w:tcW w:type="dxa" w:w="27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Output File Suffix</w:t>
            </w:r>
          </w:p>
        </w:tc>
        <w:tc>
          <w:tcPr>
            <w:tcW w:type="dxa" w:w="27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QGIS Layer Name</w:t>
            </w:r>
          </w:p>
        </w:tc>
        <w:tc>
          <w:tcPr>
            <w:tcW w:type="dxa" w:w="3626"/>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_AluniteCom_1480W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AluniteComp_1480W</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 composition ratio at 1480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_AluniteIndex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ENVI_Alunite_Index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 mineral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_AluniteAbund_1760D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AluniteAbundance_1480D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 abundance depth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_AluniteJarosite_1480D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Alunite-Jarosite_Abund_1480D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Alunite-jarosite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_ASA2200D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ASA_2200D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Advanced Spectral Analysis at 2200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_ASA_composition_2200W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2200W_ASA_comp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ASA composition at 2200 nm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_Chl-EpiditeAbund_2250D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2250D_Chl-Ep_Abund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Chlorite-epidote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_Dolomitisation_2320D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Dolomitisation_1_2320D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Dolomitisation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_FerricIronAltnIndex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ENVI_Ferric Iron Altn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Ferric iron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_FerrousIronIndex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ENVI_Ferrous Iron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Ferrous iron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_FerrousSilicatesIndex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ENVI_Ferrous Silicates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Ferrous silicates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_Kaol-Alunite-Pyroph_2160W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Kaolinite-alunite-pyrophyllite_2160W</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Kaol-alunite-pyrophyllite composition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_KaoliniteGpAbund_2160D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KaolinGp_Abund_2160D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Kaolinite group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_KaoliniteXL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ENVI_KaolinXL</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Kaolinite crystallinity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_MgOHCarbIndex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ENVI_MgOH Carb Abundance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MgOH-carbonate abundance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_MuscoviteIndex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ENVI_Muscovite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Muscovite composition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_PhengiticIndex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ENVI_Phengitic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Phengitic white mica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_PhylliticAltnIndex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ENVI_Phyllic_Altn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Phyllitic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_PropyliticAltnIndex</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ENVI_Propylitic_Altn Index</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Propylitic alteration index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_SWIR_mafic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ENVI_SWIR-active_mafic_mins</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SWIR-active mafic minerals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_900D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900D</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900 nm absorption depth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_900W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900W</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900 nm absorption wavelength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_pan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Panchromatic image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_B016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 extract)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Individual band 16 extract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_B052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 extract)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Individual band 52 extract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_B128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 extract)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Individual band 128 extract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_Geology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RGB_Geology</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geology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_Ag2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RGB_Ag2</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agriculture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_NatCol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RGB_Nat_Col</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natural colour composite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_FeSil-FeAlt-MgOH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RGB_FeSil-FeIrAltn-MgOHCarb</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RGB alteration composite</w:t>
            </w:r>
          </w:p>
        </w:tc>
      </w:tr>
    </w:tbl>
    <w:p>
      <w:r>
        <w:br w:type="page"/>
      </w:r>
    </w:p>
    <w:p>
      <w:pPr>
        <w:pStyle w:val="Heading1"/>
        <w:spacing w:before="360" w:after="200"/>
      </w:pPr>
      <w:r>
        <w:t xml:space="preserve">6. Spectral Index Descriptions</w:t>
      </w:r>
    </w:p>
    <w:p>
      <w:pPr>
        <w:pStyle w:val="Heading2"/>
        <w:spacing w:before="280" w:after="160"/>
      </w:pPr>
      <w:r>
        <w:t xml:space="preserve">6.1 Mineral Identification Indices</w:t>
      </w:r>
    </w:p>
    <w:p>
      <w:pPr>
        <w:pStyle w:val="Heading3"/>
        <w:spacing w:before="200" w:after="120"/>
      </w:pPr>
      <w:r>
        <w:t xml:space="preserve">Alunite Index</w:t>
      </w:r>
    </w:p>
    <w:p>
      <w:pPr>
        <w:spacing w:after="120"/>
      </w:pPr>
      <w:r>
        <w:rPr>
          <w:rFonts w:ascii="Arial" w:cs="Arial" w:eastAsia="Arial" w:hAnsi="Arial"/>
          <w:sz w:val="22"/>
          <w:szCs w:val="22"/>
        </w:rPr>
        <w:t xml:space="preserve">Identifies the presence of alunite, a hydrated aluminium potassium sulphate mineral commonly associated with advanced argillic hydrothermal alteration systems.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advanced argillic alteration zones in epithermal and porphyry systems.</w:t>
      </w:r>
    </w:p>
    <w:p>
      <w:pPr>
        <w:pStyle w:val="Heading3"/>
        <w:spacing w:before="200" w:after="120"/>
      </w:pPr>
      <w:r>
        <w:t xml:space="preserve">Alunite Composition (1480W)</w:t>
      </w:r>
    </w:p>
    <w:p>
      <w:pPr>
        <w:spacing w:after="120"/>
      </w:pPr>
      <w:r>
        <w:rPr>
          <w:rFonts w:ascii="Arial" w:cs="Arial" w:eastAsia="Arial" w:hAnsi="Arial"/>
          <w:sz w:val="22"/>
          <w:szCs w:val="22"/>
        </w:rPr>
        <w:t xml:space="preserve">A band ratio using PRISMA bands near 1480 nm (Band 52 / Band 53) that discriminates between different alunite compositions by exploiting subtle spectral variations in the Al-OH absorption feature.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Distinguishing Na-alunite from K-alunite in hydrothermal systems.</w:t>
      </w:r>
    </w:p>
    <w:p>
      <w:pPr>
        <w:pStyle w:val="Heading3"/>
        <w:spacing w:before="200" w:after="120"/>
      </w:pPr>
      <w:r>
        <w:t xml:space="preserve">Alunite-Jarosite Abundance (1480D)</w:t>
      </w:r>
    </w:p>
    <w:p>
      <w:pPr>
        <w:spacing w:after="120"/>
      </w:pPr>
      <w:r>
        <w:rPr>
          <w:rFonts w:ascii="Arial" w:cs="Arial" w:eastAsia="Arial" w:hAnsi="Arial"/>
          <w:sz w:val="22"/>
          <w:szCs w:val="22"/>
        </w:rPr>
        <w:t xml:space="preserve">Measures the combined abundance of alunite and jarosite minerals using an averaging approach over the 1480 nm absorption region.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oxidised and acid-sulphate alteration systems.</w:t>
      </w:r>
    </w:p>
    <w:p>
      <w:pPr>
        <w:pStyle w:val="Heading3"/>
        <w:spacing w:before="200" w:after="120"/>
      </w:pPr>
      <w:r>
        <w:t xml:space="preserve">Kaolinite Crystallinity (KaolinXL)</w:t>
      </w:r>
    </w:p>
    <w:p>
      <w:pPr>
        <w:spacing w:after="120"/>
      </w:pPr>
      <w:r>
        <w:rPr>
          <w:rFonts w:ascii="Arial" w:cs="Arial" w:eastAsia="Arial" w:hAnsi="Arial"/>
          <w:sz w:val="22"/>
          <w:szCs w:val="22"/>
        </w:rPr>
        <w:t xml:space="preserve">Assesses the crystallinity of kaolinite-group minerals. Higher crystallinity values indicate well-ordered kaolinite, while lower values suggest disordered kaolinite or halloysite.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hydrothermal alteration intensity and weathering profiles.</w:t>
      </w:r>
    </w:p>
    <w:p>
      <w:pPr>
        <w:pStyle w:val="Heading3"/>
        <w:spacing w:before="200" w:after="120"/>
      </w:pPr>
      <w:r>
        <w:t xml:space="preserve">Kaolinite Group Abundance (2160D)</w:t>
      </w:r>
    </w:p>
    <w:p>
      <w:pPr>
        <w:spacing w:after="120"/>
      </w:pPr>
      <w:r>
        <w:rPr>
          <w:rFonts w:ascii="Arial" w:cs="Arial" w:eastAsia="Arial" w:hAnsi="Arial"/>
          <w:sz w:val="22"/>
          <w:szCs w:val="22"/>
        </w:rPr>
        <w:t xml:space="preserve">Measures the overall abundance of kaolinite-group minerals using the depth of the 2160 nm absorption feature.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Argillic alteration mapping and regolith characterisation.</w:t>
      </w:r>
    </w:p>
    <w:p>
      <w:pPr>
        <w:pStyle w:val="Heading3"/>
        <w:spacing w:before="200" w:after="120"/>
      </w:pPr>
      <w:r>
        <w:t xml:space="preserve">Kaolinite-Alunite-Pyrophyllite (2160W)</w:t>
      </w:r>
    </w:p>
    <w:p>
      <w:pPr>
        <w:spacing w:after="120"/>
      </w:pPr>
      <w:r>
        <w:rPr>
          <w:rFonts w:ascii="Arial" w:cs="Arial" w:eastAsia="Arial" w:hAnsi="Arial"/>
          <w:sz w:val="22"/>
          <w:szCs w:val="22"/>
        </w:rPr>
        <w:t xml:space="preserve">A compositional index using the wavelength position near 2160 nm (Band 125 / Band 126) to distinguish between kaolinite, alunite, and pyrophyllite.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Discriminating between clay minerals in advanced argillic alteration.</w:t>
      </w:r>
    </w:p>
    <w:p>
      <w:pPr>
        <w:pStyle w:val="Heading2"/>
        <w:spacing w:before="280" w:after="160"/>
      </w:pPr>
      <w:r>
        <w:t xml:space="preserve">6.2 Alteration Indices</w:t>
      </w:r>
    </w:p>
    <w:p>
      <w:pPr>
        <w:pStyle w:val="Heading3"/>
        <w:spacing w:before="200" w:after="120"/>
      </w:pPr>
      <w:r>
        <w:t xml:space="preserve">Ferric Iron Alteration Index</w:t>
      </w:r>
    </w:p>
    <w:p>
      <w:pPr>
        <w:spacing w:after="120"/>
      </w:pPr>
      <w:r>
        <w:rPr>
          <w:rFonts w:ascii="Arial" w:cs="Arial" w:eastAsia="Arial" w:hAnsi="Arial"/>
          <w:sz w:val="22"/>
          <w:szCs w:val="22"/>
        </w:rPr>
        <w:t xml:space="preserve">Detects the presence of oxidised iron (Fe³⁺) minerals including hematite, goethite, and jarosite. Uses a complex multi-band calculation involving ratios and products of bands sensitive to Fe³⁺ absorption features.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weathering zones, gossans, and iron-oxide alteration.</w:t>
      </w:r>
    </w:p>
    <w:p>
      <w:pPr>
        <w:pStyle w:val="Heading3"/>
        <w:spacing w:before="200" w:after="120"/>
      </w:pPr>
      <w:r>
        <w:t xml:space="preserve">Ferrous Iron Index</w:t>
      </w:r>
    </w:p>
    <w:p>
      <w:pPr>
        <w:spacing w:after="120"/>
      </w:pPr>
      <w:r>
        <w:rPr>
          <w:rFonts w:ascii="Arial" w:cs="Arial" w:eastAsia="Arial" w:hAnsi="Arial"/>
          <w:sz w:val="22"/>
          <w:szCs w:val="22"/>
        </w:rPr>
        <w:t xml:space="preserve">Identifies reduced iron (Fe²⁺) minerals including pyroxene, olivine, and Fe-bearing amphiboles. Exploits the broad absorption feature near 1000 nm characteristic of ferrous iron.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fresh, unweathered mafic and ultramafic rocks.</w:t>
      </w:r>
    </w:p>
    <w:p>
      <w:pPr>
        <w:pStyle w:val="Heading3"/>
        <w:spacing w:before="200" w:after="120"/>
      </w:pPr>
      <w:r>
        <w:t xml:space="preserve">Ferrous Silicates Index</w:t>
      </w:r>
    </w:p>
    <w:p>
      <w:pPr>
        <w:spacing w:after="120"/>
      </w:pPr>
      <w:r>
        <w:rPr>
          <w:rFonts w:ascii="Arial" w:cs="Arial" w:eastAsia="Arial" w:hAnsi="Arial"/>
          <w:sz w:val="22"/>
          <w:szCs w:val="22"/>
        </w:rPr>
        <w:t xml:space="preserve">Detects iron-bearing silicate minerals including chlorite, biotite, and amphibole. Calculated as the ratio of the 2165 nm region average to the 1650 nm region reflectance.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Identifying mafic mineral assemblages and propylitic alteration.</w:t>
      </w:r>
    </w:p>
    <w:p>
      <w:pPr>
        <w:pStyle w:val="Heading3"/>
        <w:spacing w:before="200" w:after="120"/>
      </w:pPr>
      <w:r>
        <w:t xml:space="preserve">Propylitic Alteration Index</w:t>
      </w:r>
    </w:p>
    <w:p>
      <w:pPr>
        <w:spacing w:after="120"/>
      </w:pPr>
      <w:r>
        <w:rPr>
          <w:rFonts w:ascii="Arial" w:cs="Arial" w:eastAsia="Arial" w:hAnsi="Arial"/>
          <w:sz w:val="22"/>
          <w:szCs w:val="22"/>
        </w:rPr>
        <w:t xml:space="preserve">Maps propylitic alteration characterised by the assemblage of chlorite, epidote, and carbonate minerals.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Delineating the outer halo of porphyry-style alteration systems.</w:t>
      </w:r>
    </w:p>
    <w:p>
      <w:pPr>
        <w:pStyle w:val="Heading3"/>
        <w:spacing w:before="200" w:after="120"/>
      </w:pPr>
      <w:r>
        <w:t xml:space="preserve">Phengitic Index</w:t>
      </w:r>
    </w:p>
    <w:p>
      <w:pPr>
        <w:spacing w:after="120"/>
      </w:pPr>
      <w:r>
        <w:rPr>
          <w:rFonts w:ascii="Arial" w:cs="Arial" w:eastAsia="Arial" w:hAnsi="Arial"/>
          <w:sz w:val="22"/>
          <w:szCs w:val="22"/>
        </w:rPr>
        <w:t xml:space="preserve">Identifies phengitic white micas with elevated Mg and Fe content relative to muscovite.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metamorphic grade variation and phengitic alteration.</w:t>
      </w:r>
    </w:p>
    <w:p>
      <w:pPr>
        <w:pStyle w:val="Heading3"/>
        <w:spacing w:before="200" w:after="120"/>
      </w:pPr>
      <w:r>
        <w:t xml:space="preserve">Phyllitic Alteration Index</w:t>
      </w:r>
    </w:p>
    <w:p>
      <w:pPr>
        <w:spacing w:after="120"/>
      </w:pPr>
      <w:r>
        <w:rPr>
          <w:rFonts w:ascii="Arial" w:cs="Arial" w:eastAsia="Arial" w:hAnsi="Arial"/>
          <w:sz w:val="22"/>
          <w:szCs w:val="22"/>
        </w:rPr>
        <w:t xml:space="preserve">Maps phyllitic alteration characterised by sericite (fine-grained white mica), chlorite, and quartz.</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Identifying sericitic/phyllitic alteration shells in porphyry and VMS systems.</w:t>
      </w:r>
    </w:p>
    <w:p>
      <w:pPr>
        <w:pStyle w:val="Heading3"/>
        <w:spacing w:before="200" w:after="120"/>
      </w:pPr>
      <w:r>
        <w:t xml:space="preserve">Muscovite Index</w:t>
      </w:r>
    </w:p>
    <w:p>
      <w:pPr>
        <w:spacing w:after="120"/>
      </w:pPr>
      <w:r>
        <w:rPr>
          <w:rFonts w:ascii="Arial" w:cs="Arial" w:eastAsia="Arial" w:hAnsi="Arial"/>
          <w:sz w:val="22"/>
          <w:szCs w:val="22"/>
        </w:rPr>
        <w:t xml:space="preserve">Detects muscovite-group white micas using diagnostic SWIR absorption features.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white mica composition and abundance for vectoring towards mineralisation.</w:t>
      </w:r>
    </w:p>
    <w:p>
      <w:pPr>
        <w:pStyle w:val="Heading2"/>
        <w:spacing w:before="280" w:after="160"/>
      </w:pPr>
      <w:r>
        <w:t xml:space="preserve">6.3 Compositional Indices</w:t>
      </w:r>
    </w:p>
    <w:p>
      <w:pPr>
        <w:pStyle w:val="Heading3"/>
        <w:spacing w:before="200" w:after="120"/>
      </w:pPr>
      <w:r>
        <w:t xml:space="preserve">Chlorite-Epidote Abundance (2250D)</w:t>
      </w:r>
    </w:p>
    <w:p>
      <w:pPr>
        <w:spacing w:after="120"/>
      </w:pPr>
      <w:r>
        <w:rPr>
          <w:rFonts w:ascii="Arial" w:cs="Arial" w:eastAsia="Arial" w:hAnsi="Arial"/>
          <w:sz w:val="22"/>
          <w:szCs w:val="22"/>
        </w:rPr>
        <w:t xml:space="preserve">Quantifies the abundance of chlorite and epidote using the depth of the 2250 nm absorption feature.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propylitic alteration intensity and greenschist-facies metamorphism.</w:t>
      </w:r>
    </w:p>
    <w:p>
      <w:pPr>
        <w:pStyle w:val="Heading3"/>
        <w:spacing w:before="200" w:after="120"/>
      </w:pPr>
      <w:r>
        <w:t xml:space="preserve">MgOH-Carbonate Abundance Index</w:t>
      </w:r>
    </w:p>
    <w:p>
      <w:pPr>
        <w:spacing w:after="120"/>
      </w:pPr>
      <w:r>
        <w:rPr>
          <w:rFonts w:ascii="Arial" w:cs="Arial" w:eastAsia="Arial" w:hAnsi="Arial"/>
          <w:sz w:val="22"/>
          <w:szCs w:val="22"/>
        </w:rPr>
        <w:t xml:space="preserve">Detects magnesium hydroxyl and carbonate minerals including serpentine, talc, magnesite, and dolomite. Exploits the strong absorption features in the 2300–2350 nm region.</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carbonate lithologies, ultramafic alteration, and serpentinisation.</w:t>
      </w:r>
    </w:p>
    <w:p>
      <w:pPr>
        <w:pStyle w:val="Heading3"/>
        <w:spacing w:before="200" w:after="120"/>
      </w:pPr>
      <w:r>
        <w:t xml:space="preserve">Dolomitisation Index (2320D)</w:t>
      </w:r>
    </w:p>
    <w:p>
      <w:pPr>
        <w:spacing w:after="120"/>
      </w:pPr>
      <w:r>
        <w:rPr>
          <w:rFonts w:ascii="Arial" w:cs="Arial" w:eastAsia="Arial" w:hAnsi="Arial"/>
          <w:sz w:val="22"/>
          <w:szCs w:val="22"/>
        </w:rPr>
        <w:t xml:space="preserve">Measures the degree of dolomitisation in carbonate rocks using the 2320 nm absorption depth.</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Carbonate rock classification and dolomitisation mapping.</w:t>
      </w:r>
    </w:p>
    <w:p>
      <w:pPr>
        <w:pStyle w:val="Heading3"/>
        <w:spacing w:before="200" w:after="120"/>
      </w:pPr>
      <w:r>
        <w:t xml:space="preserve">ASA (Advanced Spectral Analysis) 2200D</w:t>
      </w:r>
    </w:p>
    <w:p>
      <w:pPr>
        <w:spacing w:after="120"/>
      </w:pPr>
      <w:r>
        <w:rPr>
          <w:rFonts w:ascii="Arial" w:cs="Arial" w:eastAsia="Arial" w:hAnsi="Arial"/>
          <w:sz w:val="22"/>
          <w:szCs w:val="22"/>
        </w:rPr>
        <w:t xml:space="preserve">Measures absorption depth at 2200 nm, diagnostic of Al-OH bearing minerals.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General clay and white mica abundance mapping.</w:t>
      </w:r>
    </w:p>
    <w:p>
      <w:pPr>
        <w:pStyle w:val="Heading3"/>
        <w:spacing w:before="200" w:after="120"/>
      </w:pPr>
      <w:r>
        <w:t xml:space="preserve">ASA Composition (2200W)</w:t>
      </w:r>
    </w:p>
    <w:p>
      <w:pPr>
        <w:spacing w:after="120"/>
      </w:pPr>
      <w:r>
        <w:rPr>
          <w:rFonts w:ascii="Arial" w:cs="Arial" w:eastAsia="Arial" w:hAnsi="Arial"/>
          <w:sz w:val="22"/>
          <w:szCs w:val="22"/>
        </w:rPr>
        <w:t xml:space="preserve">Evaluates the wavelength position of the 2200 nm absorption feature. Shorter wavelengths indicate Al-rich compositions, longer wavelengths indicate more Mg-Fe-rich compositions.</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Discriminating between different Al-OH mineral species.</w:t>
      </w:r>
    </w:p>
    <w:p>
      <w:pPr>
        <w:pStyle w:val="Heading3"/>
        <w:spacing w:before="200" w:after="120"/>
      </w:pPr>
      <w:r>
        <w:t xml:space="preserve">SWIR-Active Mafic Minerals</w:t>
      </w:r>
    </w:p>
    <w:p>
      <w:pPr>
        <w:spacing w:after="120"/>
      </w:pPr>
      <w:r>
        <w:rPr>
          <w:rFonts w:ascii="Arial" w:cs="Arial" w:eastAsia="Arial" w:hAnsi="Arial"/>
          <w:sz w:val="22"/>
          <w:szCs w:val="22"/>
        </w:rPr>
        <w:t xml:space="preserve">A ratio of PRISMA Band 211 to Band 206, identifying mafic minerals with diagnostic SWIR absorption features including actinolite, hornblende, and chlorite.</w:t>
      </w:r>
    </w:p>
    <w:p>
      <w:pPr>
        <w:spacing w:after="120"/>
      </w:pPr>
      <w:r>
        <w:rPr>
          <w:rFonts w:ascii="Arial" w:cs="Arial" w:eastAsia="Arial" w:hAnsi="Arial"/>
          <w:b/>
          <w:bCs/>
          <w:sz w:val="22"/>
          <w:szCs w:val="22"/>
        </w:rPr>
        <w:t xml:space="preserve">Application: </w:t>
      </w:r>
      <w:r>
        <w:rPr>
          <w:rFonts w:ascii="Arial" w:cs="Arial" w:eastAsia="Arial" w:hAnsi="Arial"/>
          <w:sz w:val="22"/>
          <w:szCs w:val="22"/>
        </w:rPr>
        <w:t xml:space="preserve">Mapping mafic lithologies and alteration assemblages.</w:t>
      </w:r>
    </w:p>
    <w:p>
      <w:pPr>
        <w:pStyle w:val="Heading3"/>
        <w:spacing w:before="200" w:after="120"/>
      </w:pPr>
      <w:r>
        <w:t xml:space="preserve">900D and 900W</w:t>
      </w:r>
    </w:p>
    <w:p>
      <w:pPr>
        <w:spacing w:after="120"/>
      </w:pPr>
      <w:r>
        <w:rPr>
          <w:rFonts w:ascii="Arial" w:cs="Arial" w:eastAsia="Arial" w:hAnsi="Arial"/>
          <w:sz w:val="22"/>
          <w:szCs w:val="22"/>
        </w:rPr>
        <w:t xml:space="preserve">The 900D index measures the depth of absorption near 900 nm (diagnostic of iron-bearing minerals), while 900W evaluates the wavelength position of this feature, which shifts with different iron-bearing mineral species.</w:t>
      </w:r>
    </w:p>
    <w:p>
      <w:pPr>
        <w:pStyle w:val="Heading2"/>
        <w:spacing w:before="280" w:after="160"/>
      </w:pPr>
      <w:r>
        <w:t xml:space="preserve">6.4 Additional Outputs</w:t>
      </w:r>
    </w:p>
    <w:p>
      <w:pPr>
        <w:pStyle w:val="Heading3"/>
        <w:spacing w:before="200" w:after="120"/>
      </w:pPr>
      <w:r>
        <w:t xml:space="preserve">Panchromatic Image</w:t>
      </w:r>
    </w:p>
    <w:p>
      <w:pPr>
        <w:spacing w:after="120"/>
      </w:pPr>
      <w:r>
        <w:rPr>
          <w:rFonts w:ascii="Arial" w:cs="Arial" w:eastAsia="Arial" w:hAnsi="Arial"/>
          <w:sz w:val="22"/>
          <w:szCs w:val="22"/>
        </w:rPr>
        <w:t xml:space="preserve">The PRISMA panchromatic camera provides a higher spatial resolution image compared to the hyperspectral bands. This is useful as a base layer for spatial context and for sharpening the lower-resolution spectral products.</w:t>
      </w:r>
    </w:p>
    <w:p>
      <w:pPr>
        <w:pStyle w:val="Heading3"/>
        <w:spacing w:before="200" w:after="120"/>
      </w:pPr>
      <w:r>
        <w:t xml:space="preserve">Individual Band Extracts (B016, B052, B128)</w:t>
      </w:r>
    </w:p>
    <w:p>
      <w:pPr>
        <w:spacing w:after="120"/>
      </w:pPr>
      <w:r>
        <w:rPr>
          <w:rFonts w:ascii="Arial" w:cs="Arial" w:eastAsia="Arial" w:hAnsi="Arial"/>
          <w:sz w:val="22"/>
          <w:szCs w:val="22"/>
        </w:rPr>
        <w:t xml:space="preserve">Three individual spectral bands are extracted and saved for reference and quality checking. Band 16 is in the visible green region, Band 52 is in the SWIR-I region near 1480 nm, and Band 128 is in the SWIR-II region.</w:t>
      </w:r>
    </w:p>
    <w:p>
      <w:pPr>
        <w:pStyle w:val="Heading2"/>
        <w:spacing w:before="280" w:after="160"/>
      </w:pPr>
      <w:r>
        <w:t xml:space="preserve">6.5 RGB Composite Images</w:t>
      </w:r>
    </w:p>
    <w:p>
      <w:pPr>
        <w:pStyle w:val="Heading3"/>
        <w:spacing w:before="200" w:after="120"/>
      </w:pPr>
      <w:r>
        <w:t xml:space="preserve">Geology RGB</w:t>
      </w:r>
    </w:p>
    <w:p>
      <w:pPr>
        <w:spacing w:after="120"/>
      </w:pPr>
      <w:r>
        <w:rPr>
          <w:rFonts w:ascii="Arial" w:cs="Arial" w:eastAsia="Arial" w:hAnsi="Arial"/>
          <w:sz w:val="22"/>
          <w:szCs w:val="22"/>
        </w:rPr>
        <w:t xml:space="preserve">A three-band false colour composite using Band 193, Band 128, and Band 16 as red, green, and blue channels. Designed to highlight geological features and lithological variations.</w:t>
      </w:r>
    </w:p>
    <w:p>
      <w:pPr>
        <w:pStyle w:val="Heading3"/>
        <w:spacing w:before="200" w:after="120"/>
      </w:pPr>
      <w:r>
        <w:t xml:space="preserve">Agriculture 2 RGB</w:t>
      </w:r>
    </w:p>
    <w:p>
      <w:pPr>
        <w:spacing w:after="120"/>
      </w:pPr>
      <w:r>
        <w:rPr>
          <w:rFonts w:ascii="Arial" w:cs="Arial" w:eastAsia="Arial" w:hAnsi="Arial"/>
          <w:sz w:val="22"/>
          <w:szCs w:val="22"/>
        </w:rPr>
        <w:t xml:space="preserve">A composite image using bands selected to highlight vegetation health and agricultural land use patterns.</w:t>
      </w:r>
    </w:p>
    <w:p>
      <w:pPr>
        <w:pStyle w:val="Heading3"/>
        <w:spacing w:before="200" w:after="120"/>
      </w:pPr>
      <w:r>
        <w:t xml:space="preserve">Natural Colour RGB</w:t>
      </w:r>
    </w:p>
    <w:p>
      <w:pPr>
        <w:spacing w:after="120"/>
      </w:pPr>
      <w:r>
        <w:rPr>
          <w:rFonts w:ascii="Arial" w:cs="Arial" w:eastAsia="Arial" w:hAnsi="Arial"/>
          <w:sz w:val="22"/>
          <w:szCs w:val="22"/>
        </w:rPr>
        <w:t xml:space="preserve">A simulated true-colour composite using visible wavelength bands, providing a natural-looking image.</w:t>
      </w:r>
    </w:p>
    <w:p>
      <w:pPr>
        <w:pStyle w:val="Heading3"/>
        <w:spacing w:before="200" w:after="120"/>
      </w:pPr>
      <w:r>
        <w:t xml:space="preserve">FeSil-FeIrAltn-MgOHCarb RGB</w:t>
      </w:r>
    </w:p>
    <w:p>
      <w:pPr>
        <w:spacing w:after="120"/>
      </w:pPr>
      <w:r>
        <w:rPr>
          <w:rFonts w:ascii="Arial" w:cs="Arial" w:eastAsia="Arial" w:hAnsi="Arial"/>
          <w:sz w:val="22"/>
          <w:szCs w:val="22"/>
        </w:rPr>
        <w:t xml:space="preserve">An alteration-focused composite with:</w:t>
      </w:r>
    </w:p>
    <w:p>
      <w:pPr>
        <w:pStyle w:val="ListParagraph"/>
        <w:numPr>
          <w:ilvl w:val="0"/>
          <w:numId w:val="2"/>
        </w:numPr>
        <w:spacing w:after="60"/>
      </w:pPr>
      <w:r>
        <w:rPr>
          <w:rFonts w:ascii="Arial" w:cs="Arial" w:eastAsia="Arial" w:hAnsi="Arial"/>
          <w:b/>
          <w:bCs/>
          <w:sz w:val="22"/>
          <w:szCs w:val="22"/>
        </w:rPr>
        <w:t xml:space="preserve">Red channel: </w:t>
      </w:r>
      <w:r>
        <w:rPr>
          <w:rFonts w:ascii="Arial" w:cs="Arial" w:eastAsia="Arial" w:hAnsi="Arial"/>
          <w:sz w:val="22"/>
          <w:szCs w:val="22"/>
        </w:rPr>
        <w:t xml:space="preserve">Ferrous Silicates Index – highlights mafic minerals</w:t>
      </w:r>
    </w:p>
    <w:p>
      <w:pPr>
        <w:pStyle w:val="ListParagraph"/>
        <w:numPr>
          <w:ilvl w:val="0"/>
          <w:numId w:val="2"/>
        </w:numPr>
        <w:spacing w:after="60"/>
      </w:pPr>
      <w:r>
        <w:rPr>
          <w:rFonts w:ascii="Arial" w:cs="Arial" w:eastAsia="Arial" w:hAnsi="Arial"/>
          <w:b/>
          <w:bCs/>
          <w:sz w:val="22"/>
          <w:szCs w:val="22"/>
        </w:rPr>
        <w:t xml:space="preserve">Green channel: </w:t>
      </w:r>
      <w:r>
        <w:rPr>
          <w:rFonts w:ascii="Arial" w:cs="Arial" w:eastAsia="Arial" w:hAnsi="Arial"/>
          <w:sz w:val="22"/>
          <w:szCs w:val="22"/>
        </w:rPr>
        <w:t xml:space="preserve">Ferric Iron Alteration Index – highlights oxidised iron</w:t>
      </w:r>
    </w:p>
    <w:p>
      <w:pPr>
        <w:pStyle w:val="ListParagraph"/>
        <w:numPr>
          <w:ilvl w:val="0"/>
          <w:numId w:val="2"/>
        </w:numPr>
        <w:spacing w:after="60"/>
      </w:pPr>
      <w:r>
        <w:rPr>
          <w:rFonts w:ascii="Arial" w:cs="Arial" w:eastAsia="Arial" w:hAnsi="Arial"/>
          <w:b/>
          <w:bCs/>
          <w:sz w:val="22"/>
          <w:szCs w:val="22"/>
        </w:rPr>
        <w:t xml:space="preserve">Blue channel: </w:t>
      </w:r>
      <w:r>
        <w:rPr>
          <w:rFonts w:ascii="Arial" w:cs="Arial" w:eastAsia="Arial" w:hAnsi="Arial"/>
          <w:sz w:val="22"/>
          <w:szCs w:val="22"/>
        </w:rPr>
        <w:t xml:space="preserve">MgOH-Carbonate Abundance Index – highlights carbonates and Mg-OH minerals</w:t>
      </w:r>
    </w:p>
    <w:p>
      <w:pPr>
        <w:spacing w:after="60"/>
      </w:pPr>
    </w:p>
    <w:p>
      <w:pPr>
        <w:spacing w:after="120"/>
      </w:pPr>
      <w:r>
        <w:rPr>
          <w:rFonts w:ascii="Arial" w:cs="Arial" w:eastAsia="Arial" w:hAnsi="Arial"/>
          <w:sz w:val="22"/>
          <w:szCs w:val="22"/>
        </w:rPr>
        <w:t xml:space="preserve">Propylitic zones appear cyan-blue, argillic zones appear red-magenta, and iron oxide zones appear green-yellow.</w:t>
      </w:r>
    </w:p>
    <w:p>
      <w:r>
        <w:br w:type="page"/>
      </w:r>
    </w:p>
    <w:p>
      <w:pPr>
        <w:pStyle w:val="Heading1"/>
        <w:spacing w:before="360" w:after="200"/>
      </w:pPr>
      <w:r>
        <w:t xml:space="preserve">7. Visualising Results</w:t>
      </w:r>
    </w:p>
    <w:p>
      <w:pPr>
        <w:pStyle w:val="Heading2"/>
        <w:spacing w:before="280" w:after="160"/>
      </w:pPr>
      <w:r>
        <w:t xml:space="preserve">7.1 Adjusting Stretch Settings</w:t>
      </w:r>
    </w:p>
    <w:p>
      <w:pPr>
        <w:spacing w:after="120"/>
      </w:pPr>
      <w:r>
        <w:rPr>
          <w:rFonts w:ascii="Arial" w:cs="Arial" w:eastAsia="Arial" w:hAnsi="Arial"/>
          <w:sz w:val="22"/>
          <w:szCs w:val="22"/>
        </w:rPr>
        <w:t xml:space="preserve">After processing, the spectral index layers are loaded with default symbology. For optimal visualisation:</w:t>
      </w:r>
    </w:p>
    <w:p>
      <w:pPr>
        <w:pStyle w:val="ListParagraph"/>
        <w:numPr>
          <w:ilvl w:val="0"/>
          <w:numId w:val="7"/>
        </w:numPr>
        <w:spacing w:after="60"/>
      </w:pPr>
      <w:r>
        <w:rPr>
          <w:rFonts w:ascii="Arial" w:cs="Arial" w:eastAsia="Arial" w:hAnsi="Arial"/>
          <w:sz w:val="22"/>
          <w:szCs w:val="22"/>
        </w:rPr>
        <w:t xml:space="preserve">Right-click the layer in the Layers panel and select Properties</w:t>
      </w:r>
    </w:p>
    <w:p>
      <w:pPr>
        <w:pStyle w:val="ListParagraph"/>
        <w:numPr>
          <w:ilvl w:val="0"/>
          <w:numId w:val="7"/>
        </w:numPr>
        <w:spacing w:after="60"/>
      </w:pPr>
      <w:r>
        <w:rPr>
          <w:rFonts w:ascii="Arial" w:cs="Arial" w:eastAsia="Arial" w:hAnsi="Arial"/>
          <w:sz w:val="22"/>
          <w:szCs w:val="22"/>
        </w:rPr>
        <w:t xml:space="preserve">Navigate to the Symbology tab</w:t>
      </w:r>
    </w:p>
    <w:p>
      <w:pPr>
        <w:pStyle w:val="ListParagraph"/>
        <w:numPr>
          <w:ilvl w:val="0"/>
          <w:numId w:val="7"/>
        </w:numPr>
        <w:spacing w:after="60"/>
      </w:pPr>
      <w:r>
        <w:rPr>
          <w:rFonts w:ascii="Arial" w:cs="Arial" w:eastAsia="Arial" w:hAnsi="Arial"/>
          <w:sz w:val="22"/>
          <w:szCs w:val="22"/>
        </w:rPr>
        <w:t xml:space="preserve">Under Min / Max Value Settings, select "Cumulative count cut" and set the range to 2%–98%</w:t>
      </w:r>
    </w:p>
    <w:p>
      <w:pPr>
        <w:pStyle w:val="ListParagraph"/>
        <w:numPr>
          <w:ilvl w:val="0"/>
          <w:numId w:val="7"/>
        </w:numPr>
        <w:spacing w:after="60"/>
      </w:pPr>
      <w:r>
        <w:rPr>
          <w:rFonts w:ascii="Arial" w:cs="Arial" w:eastAsia="Arial" w:hAnsi="Arial"/>
          <w:sz w:val="22"/>
          <w:szCs w:val="22"/>
        </w:rPr>
        <w:t xml:space="preserve">This removes outlier pixels and improves contrast across the useful data range</w:t>
      </w:r>
    </w:p>
    <w:p>
      <w:pPr>
        <w:pStyle w:val="ListParagraph"/>
        <w:numPr>
          <w:ilvl w:val="0"/>
          <w:numId w:val="7"/>
        </w:numPr>
        <w:spacing w:after="60"/>
      </w:pPr>
      <w:r>
        <w:rPr>
          <w:rFonts w:ascii="Arial" w:cs="Arial" w:eastAsia="Arial" w:hAnsi="Arial"/>
          <w:sz w:val="22"/>
          <w:szCs w:val="22"/>
        </w:rPr>
        <w:t xml:space="preserve">Click Apply to preview, then OK to confirm</w:t>
      </w:r>
    </w:p>
    <w:p>
      <w:pPr>
        <w:pStyle w:val="Heading2"/>
        <w:spacing w:before="280" w:after="160"/>
      </w:pPr>
      <w:r>
        <w:t xml:space="preserve">7.2 Recommended Colour Ramps</w:t>
      </w:r>
    </w:p>
    <w:p>
      <w:pPr>
        <w:pStyle w:val="ListParagraph"/>
        <w:numPr>
          <w:ilvl w:val="0"/>
          <w:numId w:val="2"/>
        </w:numPr>
        <w:spacing w:after="60"/>
      </w:pPr>
      <w:r>
        <w:rPr>
          <w:rFonts w:ascii="Arial" w:cs="Arial" w:eastAsia="Arial" w:hAnsi="Arial"/>
          <w:sz w:val="22"/>
          <w:szCs w:val="22"/>
        </w:rPr>
        <w:t xml:space="preserve">"Spectral" – rainbow ramp for general-purpose index visualisation</w:t>
      </w:r>
    </w:p>
    <w:p>
      <w:pPr>
        <w:pStyle w:val="ListParagraph"/>
        <w:numPr>
          <w:ilvl w:val="0"/>
          <w:numId w:val="2"/>
        </w:numPr>
        <w:spacing w:after="60"/>
      </w:pPr>
      <w:r>
        <w:rPr>
          <w:rFonts w:ascii="Arial" w:cs="Arial" w:eastAsia="Arial" w:hAnsi="Arial"/>
          <w:sz w:val="22"/>
          <w:szCs w:val="22"/>
        </w:rPr>
        <w:t xml:space="preserve">"RdYlGn" (Red-Yellow-Green) – good for abundance indices</w:t>
      </w:r>
    </w:p>
    <w:p>
      <w:pPr>
        <w:pStyle w:val="ListParagraph"/>
        <w:numPr>
          <w:ilvl w:val="0"/>
          <w:numId w:val="2"/>
        </w:numPr>
        <w:spacing w:after="60"/>
      </w:pPr>
      <w:r>
        <w:rPr>
          <w:rFonts w:ascii="Arial" w:cs="Arial" w:eastAsia="Arial" w:hAnsi="Arial"/>
          <w:sz w:val="22"/>
          <w:szCs w:val="22"/>
        </w:rPr>
        <w:t xml:space="preserve">"Magma" or "Viridis" – perceptually uniform ramps suitable for publication</w:t>
      </w:r>
    </w:p>
    <w:p>
      <w:pPr>
        <w:pStyle w:val="ListParagraph"/>
        <w:numPr>
          <w:ilvl w:val="0"/>
          <w:numId w:val="2"/>
        </w:numPr>
        <w:spacing w:after="60"/>
      </w:pPr>
      <w:r>
        <w:rPr>
          <w:rFonts w:ascii="Arial" w:cs="Arial" w:eastAsia="Arial" w:hAnsi="Arial"/>
          <w:sz w:val="22"/>
          <w:szCs w:val="22"/>
        </w:rPr>
        <w:t xml:space="preserve">"RdBu" (Red-Blue diverging) – useful for compositional indices</w:t>
      </w:r>
    </w:p>
    <w:p>
      <w:pPr>
        <w:pStyle w:val="Heading2"/>
        <w:spacing w:before="280" w:after="160"/>
      </w:pPr>
      <w:r>
        <w:t xml:space="preserve">7.3 Interpreting Common Mineral Assemblage Patterns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Pattern</w:t>
            </w:r>
          </w:p>
        </w:tc>
        <w:tc>
          <w:tcPr>
            <w:tcW w:type="dxa" w:w="2800"/>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Interpretation</w:t>
            </w:r>
          </w:p>
        </w:tc>
        <w:tc>
          <w:tcPr>
            <w:tcW w:type="dxa" w:w="3226"/>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Significance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Alunite + High Ferric Iron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Advanced argillic alteration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Proximal to epithermal or porphyry systems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Ferrous Silicates + Low Ferric Iron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Fresh mafic rock</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Mafic lithologies with minimal weathering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MgOH-Carb + High Dolomitisation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Carbonate-rich terrain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Dolomitic units or ultramafic alteration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Phyllitic + High Muscovite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Sericite-quartz alteration</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Phyllic alteration halo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High Propylitic + High Chl-Ep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Chlorite-epidote assemblage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Outer propylitic alteration halo</w:t>
            </w:r>
          </w:p>
        </w:tc>
      </w:tr>
    </w:tbl>
    <w:p>
      <w:r>
        <w:br w:type="page"/>
      </w:r>
    </w:p>
    <w:p>
      <w:pPr>
        <w:pStyle w:val="Heading1"/>
        <w:spacing w:before="360" w:after="200"/>
      </w:pPr>
      <w:r>
        <w:t xml:space="preserve">8. Technical Notes</w:t>
      </w:r>
    </w:p>
    <w:p>
      <w:pPr>
        <w:pStyle w:val="Heading2"/>
        <w:spacing w:before="280" w:after="160"/>
      </w:pPr>
      <w:r>
        <w:t xml:space="preserve">8.1 PRISMA Data Import</w:t>
      </w:r>
    </w:p>
    <w:p>
      <w:pPr>
        <w:spacing w:after="120"/>
      </w:pPr>
      <w:r>
        <w:rPr>
          <w:rFonts w:ascii="Arial" w:cs="Arial" w:eastAsia="Arial" w:hAnsi="Arial"/>
          <w:sz w:val="22"/>
          <w:szCs w:val="22"/>
        </w:rPr>
        <w:t xml:space="preserve">The plugin imports PRISMA L2D data using the EnMAP-Box algorithm enmapbox:importprismal2dproduct. The import is configured with the following settings:</w:t>
      </w:r>
    </w:p>
    <w:p>
      <w:pPr>
        <w:pStyle w:val="ListParagraph"/>
        <w:numPr>
          <w:ilvl w:val="0"/>
          <w:numId w:val="2"/>
        </w:numPr>
        <w:spacing w:after="60"/>
      </w:pPr>
      <w:r>
        <w:rPr>
          <w:rFonts w:ascii="Arial" w:cs="Arial" w:eastAsia="Arial" w:hAnsi="Arial"/>
          <w:sz w:val="22"/>
          <w:szCs w:val="22"/>
        </w:rPr>
        <w:t xml:space="preserve">Spectral region: VNIR/SWIR combined (all spectral bands in a single cube)</w:t>
      </w:r>
    </w:p>
    <w:p>
      <w:pPr>
        <w:pStyle w:val="ListParagraph"/>
        <w:numPr>
          <w:ilvl w:val="0"/>
          <w:numId w:val="2"/>
        </w:numPr>
        <w:spacing w:after="60"/>
      </w:pPr>
      <w:r>
        <w:rPr>
          <w:rFonts w:ascii="Arial" w:cs="Arial" w:eastAsia="Arial" w:hAnsi="Arial"/>
          <w:sz w:val="22"/>
          <w:szCs w:val="22"/>
        </w:rPr>
        <w:t xml:space="preserve">Bad band threshold: None (no automatic bad band exclusion)</w:t>
      </w:r>
    </w:p>
    <w:p>
      <w:pPr>
        <w:pStyle w:val="ListParagraph"/>
        <w:numPr>
          <w:ilvl w:val="0"/>
          <w:numId w:val="2"/>
        </w:numPr>
        <w:spacing w:after="60"/>
      </w:pPr>
      <w:r>
        <w:rPr>
          <w:rFonts w:ascii="Arial" w:cs="Arial" w:eastAsia="Arial" w:hAnsi="Arial"/>
          <w:sz w:val="22"/>
          <w:szCs w:val="22"/>
        </w:rPr>
        <w:t xml:space="preserve">Bad pixel type: Invalid pixels from L1 product only</w:t>
      </w:r>
    </w:p>
    <w:p>
      <w:pPr>
        <w:pStyle w:val="ListParagraph"/>
        <w:numPr>
          <w:ilvl w:val="0"/>
          <w:numId w:val="2"/>
        </w:numPr>
        <w:spacing w:after="60"/>
      </w:pPr>
      <w:r>
        <w:rPr>
          <w:rFonts w:ascii="Arial" w:cs="Arial" w:eastAsia="Arial" w:hAnsi="Arial"/>
          <w:sz w:val="22"/>
          <w:szCs w:val="22"/>
        </w:rPr>
        <w:t xml:space="preserve">Outputs: Both the spectral cube and the panchromatic cube are extracted</w:t>
      </w:r>
    </w:p>
    <w:p>
      <w:pPr>
        <w:spacing w:after="60"/>
      </w:pPr>
    </w:p>
    <w:p>
      <w:pPr>
        <w:spacing w:after="120"/>
        <w:ind w:left="360"/>
      </w:pPr>
      <w:r>
        <w:rPr>
          <w:rFonts w:ascii="Arial" w:cs="Arial" w:eastAsia="Arial" w:hAnsi="Arial"/>
          <w:b/>
          <w:bCs/>
          <w:i/>
          <w:iCs/>
          <w:color w:val="7A5C00"/>
          <w:sz w:val="22"/>
          <w:szCs w:val="22"/>
        </w:rPr>
        <w:t xml:space="preserve">Note: </w:t>
      </w:r>
      <w:r>
        <w:rPr>
          <w:rFonts w:ascii="Arial" w:cs="Arial" w:eastAsia="Arial" w:hAnsi="Arial"/>
          <w:i/>
          <w:iCs/>
          <w:color w:val="7A5C00"/>
          <w:sz w:val="22"/>
          <w:szCs w:val="22"/>
        </w:rPr>
        <w:t xml:space="preserve">Bad bands are NOT excluded during import. This is by design to ensure all spectral information is retained. If you need to exclude bad bands, pre-process your data with the EnMAP-Box.</w:t>
      </w:r>
    </w:p>
    <w:p>
      <w:pPr>
        <w:pStyle w:val="Heading2"/>
        <w:spacing w:before="280" w:after="160"/>
      </w:pPr>
      <w:r>
        <w:t xml:space="preserve">8.2 PRISMA vs EnMAP Band Numbering</w:t>
      </w:r>
    </w:p>
    <w:p>
      <w:pPr>
        <w:spacing w:after="120"/>
      </w:pPr>
      <w:r>
        <w:rPr>
          <w:rFonts w:ascii="Arial" w:cs="Arial" w:eastAsia="Arial" w:hAnsi="Arial"/>
          <w:sz w:val="22"/>
          <w:szCs w:val="22"/>
        </w:rPr>
        <w:t xml:space="preserve">PRISMA and EnMAP have different band configurations. PRISMA acquires approximately 239 spectral bands, and the band numbers used in this plugin refer to the PRISMA band numbering after the VNIR/SWIR bands are combined into a single cube. Key wavelength regions and their approximate PRISMA band numbers: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Wavelength Region</w:t>
            </w:r>
          </w:p>
        </w:tc>
        <w:tc>
          <w:tcPr>
            <w:tcW w:type="dxa" w:w="3008"/>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PRISMA Bands</w:t>
            </w:r>
          </w:p>
        </w:tc>
        <w:tc>
          <w:tcPr>
            <w:tcW w:type="dxa" w:w="3008"/>
            <w:tcBorders>
              <w:top w:val="single" w:color="5B2E86" w:sz="1"/>
              <w:left w:val="single" w:color="5B2E86" w:sz="1"/>
              <w:bottom w:val="single" w:color="5B2E86" w:sz="1"/>
              <w:right w:val="single" w:color="5B2E86" w:sz="1"/>
            </w:tcBorders>
            <w:shd w:fill="5B2E86" w:val="clear"/>
            <w:tcMar>
              <w:top w:type="dxa" w:w="60"/>
              <w:left w:type="dxa" w:w="100"/>
              <w:bottom w:type="dxa" w:w="60"/>
              <w:right w:type="dxa" w:w="100"/>
            </w:tcMar>
          </w:tcPr>
          <w:p>
            <w:r>
              <w:rPr>
                <w:rFonts w:ascii="Arial" w:cs="Arial" w:eastAsia="Arial" w:hAnsi="Arial"/>
                <w:b/>
                <w:bCs/>
                <w:color w:val="FFFFFF"/>
                <w:sz w:val="19"/>
                <w:szCs w:val="19"/>
              </w:rPr>
              <w:t xml:space="preserve">Diagnostic Feature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~560 nm (visible)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16–26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Vegetation, iron oxides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~820 nm (NIR)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~52–60</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Vegetation red edge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~1480 nm (SWIR-I)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52–53</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Al-OH (alunite)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~1650 nm (SWIR-I)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~80–90</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Ferrous minerals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~2160 nm (SWIR-II)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125–126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Al-OH (clays)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~2200–2260 nm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~130–145</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White mica, clays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~2320–2395 nm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Bands ~160–211</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9"/>
                <w:szCs w:val="19"/>
              </w:rPr>
              <w:t xml:space="preserve">Carbonates, Mg-OH</w:t>
            </w:r>
          </w:p>
        </w:tc>
      </w:tr>
    </w:tbl>
    <w:p>
      <w:pPr>
        <w:pStyle w:val="Heading2"/>
        <w:spacing w:before="280" w:after="160"/>
      </w:pPr>
      <w:r>
        <w:t xml:space="preserve">8.3 Processing Architecture</w:t>
      </w:r>
    </w:p>
    <w:p>
      <w:pPr>
        <w:spacing w:after="120"/>
      </w:pPr>
      <w:r>
        <w:rPr>
          <w:rFonts w:ascii="Arial" w:cs="Arial" w:eastAsia="Arial" w:hAnsi="Arial"/>
          <w:sz w:val="22"/>
          <w:szCs w:val="22"/>
        </w:rPr>
        <w:t xml:space="preserve">The plugin uses the QGIS Processing Framework and chains child algorithms:</w:t>
      </w:r>
    </w:p>
    <w:p>
      <w:pPr>
        <w:pStyle w:val="ListParagraph"/>
        <w:numPr>
          <w:ilvl w:val="0"/>
          <w:numId w:val="2"/>
        </w:numPr>
        <w:spacing w:after="60"/>
      </w:pPr>
      <w:r>
        <w:rPr>
          <w:rFonts w:ascii="Arial" w:cs="Arial" w:eastAsia="Arial" w:hAnsi="Arial"/>
          <w:sz w:val="22"/>
          <w:szCs w:val="22"/>
        </w:rPr>
        <w:t xml:space="preserve">EnMAP-Box import (enmapbox:importprismal2dproduct) for PRISMA L2D data import</w:t>
      </w:r>
    </w:p>
    <w:p>
      <w:pPr>
        <w:pStyle w:val="ListParagraph"/>
        <w:numPr>
          <w:ilvl w:val="0"/>
          <w:numId w:val="2"/>
        </w:numPr>
        <w:spacing w:after="60"/>
      </w:pPr>
      <w:r>
        <w:rPr>
          <w:rFonts w:ascii="Arial" w:cs="Arial" w:eastAsia="Arial" w:hAnsi="Arial"/>
          <w:sz w:val="22"/>
          <w:szCs w:val="22"/>
        </w:rPr>
        <w:t xml:space="preserve">EnMAP-Box subset tool (enmapbox:subsetrasterlayerbands) for spectral subsetting</w:t>
      </w:r>
    </w:p>
    <w:p>
      <w:pPr>
        <w:pStyle w:val="ListParagraph"/>
        <w:numPr>
          <w:ilvl w:val="0"/>
          <w:numId w:val="2"/>
        </w:numPr>
        <w:spacing w:after="60"/>
      </w:pPr>
      <w:r>
        <w:rPr>
          <w:rFonts w:ascii="Arial" w:cs="Arial" w:eastAsia="Arial" w:hAnsi="Arial"/>
          <w:sz w:val="22"/>
          <w:szCs w:val="22"/>
        </w:rPr>
        <w:t xml:space="preserve">GDAL raster calculator (gdal:rastercalculator) for all band math calculations</w:t>
      </w:r>
    </w:p>
    <w:p>
      <w:pPr>
        <w:pStyle w:val="ListParagraph"/>
        <w:numPr>
          <w:ilvl w:val="0"/>
          <w:numId w:val="2"/>
        </w:numPr>
        <w:spacing w:after="60"/>
      </w:pPr>
      <w:r>
        <w:rPr>
          <w:rFonts w:ascii="Arial" w:cs="Arial" w:eastAsia="Arial" w:hAnsi="Arial"/>
          <w:sz w:val="22"/>
          <w:szCs w:val="22"/>
        </w:rPr>
        <w:t xml:space="preserve">EnMAP-Box save tool (enmapbox:saverasterlayeras) for writing compressed GeoTIFFs</w:t>
      </w:r>
    </w:p>
    <w:p>
      <w:pPr>
        <w:pStyle w:val="ListParagraph"/>
        <w:numPr>
          <w:ilvl w:val="0"/>
          <w:numId w:val="2"/>
        </w:numPr>
        <w:spacing w:after="60"/>
      </w:pPr>
      <w:r>
        <w:rPr>
          <w:rFonts w:ascii="Arial" w:cs="Arial" w:eastAsia="Arial" w:hAnsi="Arial"/>
          <w:sz w:val="22"/>
          <w:szCs w:val="22"/>
        </w:rPr>
        <w:t xml:space="preserve">GDAL virtual raster builder (gdal:buildvirtualraster) for RGB composites</w:t>
      </w:r>
    </w:p>
    <w:p>
      <w:pPr>
        <w:pStyle w:val="ListParagraph"/>
        <w:numPr>
          <w:ilvl w:val="0"/>
          <w:numId w:val="2"/>
        </w:numPr>
        <w:spacing w:after="60"/>
      </w:pPr>
      <w:r>
        <w:rPr>
          <w:rFonts w:ascii="Arial" w:cs="Arial" w:eastAsia="Arial" w:hAnsi="Arial"/>
          <w:sz w:val="22"/>
          <w:szCs w:val="22"/>
        </w:rPr>
        <w:t xml:space="preserve">QGIS native layer loader (native:loadlayer) for adding results to the project</w:t>
      </w:r>
    </w:p>
    <w:p>
      <w:pPr>
        <w:pStyle w:val="Heading2"/>
        <w:spacing w:before="280" w:after="160"/>
      </w:pPr>
      <w:r>
        <w:t xml:space="preserve">8.4 Spectral Index Formulas</w:t>
      </w:r>
    </w:p>
    <w:p>
      <w:pPr>
        <w:spacing w:after="120"/>
      </w:pPr>
      <w:r>
        <w:rPr>
          <w:rFonts w:ascii="Arial" w:cs="Arial" w:eastAsia="Arial" w:hAnsi="Arial"/>
          <w:sz w:val="22"/>
          <w:szCs w:val="22"/>
        </w:rPr>
        <w:t xml:space="preserve">The indices use two main formula types:</w:t>
      </w:r>
    </w:p>
    <w:p>
      <w:pPr>
        <w:spacing w:after="60"/>
      </w:pPr>
    </w:p>
    <w:p>
      <w:pPr>
        <w:spacing w:after="120"/>
      </w:pPr>
      <w:r>
        <w:rPr>
          <w:rFonts w:ascii="Arial" w:cs="Arial" w:eastAsia="Arial" w:hAnsi="Arial"/>
          <w:b/>
          <w:bCs/>
          <w:sz w:val="22"/>
          <w:szCs w:val="22"/>
        </w:rPr>
        <w:t xml:space="preserve">Band Ratios (A/B): </w:t>
      </w:r>
      <w:r>
        <w:rPr>
          <w:rFonts w:ascii="Arial" w:cs="Arial" w:eastAsia="Arial" w:hAnsi="Arial"/>
          <w:sz w:val="22"/>
          <w:szCs w:val="22"/>
        </w:rPr>
        <w:t xml:space="preserve">Simple ratios between specific bands that highlight spectral contrast. Used for SWIR-active mafic minerals (Band 211 / Band 206), Alunite Composition (Band 52 / Band 53), and others.</w:t>
      </w:r>
    </w:p>
    <w:p>
      <w:pPr>
        <w:spacing w:after="60"/>
      </w:pPr>
    </w:p>
    <w:p>
      <w:pPr>
        <w:spacing w:after="120"/>
      </w:pPr>
      <w:r>
        <w:rPr>
          <w:rFonts w:ascii="Arial" w:cs="Arial" w:eastAsia="Arial" w:hAnsi="Arial"/>
          <w:b/>
          <w:bCs/>
          <w:sz w:val="22"/>
          <w:szCs w:val="22"/>
        </w:rPr>
        <w:t xml:space="preserve">Normalised Averages: </w:t>
      </w:r>
      <w:r>
        <w:rPr>
          <w:rFonts w:ascii="Arial" w:cs="Arial" w:eastAsia="Arial" w:hAnsi="Arial"/>
          <w:sz w:val="22"/>
          <w:szCs w:val="22"/>
        </w:rPr>
        <w:t xml:space="preserve">Multi-band averages and ratio formulas such as (A+B)/C and (A+B+C+D+E+F)/6. These combine multiple bands for continuum depth and abundance calculations.</w:t>
      </w:r>
    </w:p>
    <w:p>
      <w:pPr>
        <w:spacing w:after="60"/>
      </w:pPr>
    </w:p>
    <w:p>
      <w:pPr>
        <w:spacing w:after="120"/>
      </w:pPr>
      <w:r>
        <w:rPr>
          <w:rFonts w:ascii="Arial" w:cs="Arial" w:eastAsia="Arial" w:hAnsi="Arial"/>
          <w:b/>
          <w:bCs/>
          <w:sz w:val="22"/>
          <w:szCs w:val="22"/>
        </w:rPr>
        <w:t xml:space="preserve">Complex Indices: </w:t>
      </w:r>
      <w:r>
        <w:rPr>
          <w:rFonts w:ascii="Arial" w:cs="Arial" w:eastAsia="Arial" w:hAnsi="Arial"/>
          <w:sz w:val="22"/>
          <w:szCs w:val="22"/>
        </w:rPr>
        <w:t xml:space="preserve">Some indices use more complex formulas including (A+B)/(C+D) and (A*B)/(A*C) for the Ferric Iron Alteration and related indices.</w:t>
      </w:r>
    </w:p>
    <w:p>
      <w:r>
        <w:br w:type="page"/>
      </w:r>
    </w:p>
    <w:p>
      <w:pPr>
        <w:pStyle w:val="Heading1"/>
        <w:spacing w:before="360" w:after="200"/>
      </w:pPr>
      <w:r>
        <w:t xml:space="preserve">9. Batch Processing</w:t>
      </w:r>
    </w:p>
    <w:p>
      <w:pPr>
        <w:spacing w:after="120"/>
      </w:pPr>
      <w:r>
        <w:rPr>
          <w:rFonts w:ascii="Arial" w:cs="Arial" w:eastAsia="Arial" w:hAnsi="Arial"/>
          <w:sz w:val="22"/>
          <w:szCs w:val="22"/>
        </w:rPr>
        <w:t xml:space="preserve">To process multiple PRISMA scenes programmatically, use the QGIS Python Console:</w:t>
      </w:r>
    </w:p>
    <w:p>
      <w:pPr>
        <w:spacing w:after="60"/>
      </w:pPr>
    </w:p>
    <w:p>
      <w:pPr>
        <w:spacing w:after="60"/>
        <w:ind w:left="360"/>
      </w:pPr>
      <w:r>
        <w:rPr>
          <w:rFonts w:ascii="Courier New" w:cs="Courier New" w:eastAsia="Courier New" w:hAnsi="Courier New"/>
          <w:sz w:val="20"/>
          <w:szCs w:val="20"/>
        </w:rPr>
        <w:t xml:space="preserve"># Run in QGIS Python Console (Plugins &gt; Python Console)</w:t>
      </w:r>
    </w:p>
    <w:p>
      <w:pPr>
        <w:spacing w:after="60"/>
        <w:ind w:left="360"/>
      </w:pPr>
      <w:r>
        <w:rPr>
          <w:rFonts w:ascii="Courier New" w:cs="Courier New" w:eastAsia="Courier New" w:hAnsi="Courier New"/>
          <w:sz w:val="20"/>
          <w:szCs w:val="20"/>
        </w:rPr>
        <w:t xml:space="preserve">import processing</w:t>
      </w:r>
    </w:p>
    <w:p>
      <w:pPr>
        <w:spacing w:after="60"/>
      </w:pPr>
    </w:p>
    <w:p>
      <w:pPr>
        <w:spacing w:after="60"/>
        <w:ind w:left="360"/>
      </w:pPr>
      <w:r>
        <w:rPr>
          <w:rFonts w:ascii="Courier New" w:cs="Courier New" w:eastAsia="Courier New" w:hAnsi="Courier New"/>
          <w:sz w:val="20"/>
          <w:szCs w:val="20"/>
        </w:rPr>
        <w:t xml:space="preserve">scenes = [</w:t>
      </w:r>
    </w:p>
    <w:p>
      <w:pPr>
        <w:spacing w:after="60"/>
        <w:ind w:left="360"/>
      </w:pPr>
      <w:r>
        <w:rPr>
          <w:rFonts w:ascii="Courier New" w:cs="Courier New" w:eastAsia="Courier New" w:hAnsi="Courier New"/>
          <w:sz w:val="20"/>
          <w:szCs w:val="20"/>
        </w:rPr>
        <w:t xml:space="preserve">    '/path/to/scene1.he5',</w:t>
      </w:r>
    </w:p>
    <w:p>
      <w:pPr>
        <w:spacing w:after="60"/>
        <w:ind w:left="360"/>
      </w:pPr>
      <w:r>
        <w:rPr>
          <w:rFonts w:ascii="Courier New" w:cs="Courier New" w:eastAsia="Courier New" w:hAnsi="Courier New"/>
          <w:sz w:val="20"/>
          <w:szCs w:val="20"/>
        </w:rPr>
        <w:t xml:space="preserve">    '/path/to/scene2.he5',</w:t>
      </w:r>
    </w:p>
    <w:p>
      <w:pPr>
        <w:spacing w:after="60"/>
        <w:ind w:left="360"/>
      </w:pPr>
      <w:r>
        <w:rPr>
          <w:rFonts w:ascii="Courier New" w:cs="Courier New" w:eastAsia="Courier New" w:hAnsi="Courier New"/>
          <w:sz w:val="20"/>
          <w:szCs w:val="20"/>
        </w:rPr>
        <w:t xml:space="preserve">    '/path/to/scene3.he5'</w:t>
      </w:r>
    </w:p>
    <w:p>
      <w:pPr>
        <w:spacing w:after="60"/>
        <w:ind w:left="360"/>
      </w:pPr>
      <w:r>
        <w:rPr>
          <w:rFonts w:ascii="Courier New" w:cs="Courier New" w:eastAsia="Courier New" w:hAnsi="Courier New"/>
          <w:sz w:val="20"/>
          <w:szCs w:val="20"/>
        </w:rPr>
        <w:t xml:space="preserve">]</w:t>
      </w:r>
    </w:p>
    <w:p>
      <w:pPr>
        <w:spacing w:after="60"/>
      </w:pPr>
    </w:p>
    <w:p>
      <w:pPr>
        <w:spacing w:after="60"/>
        <w:ind w:left="360"/>
      </w:pPr>
      <w:r>
        <w:rPr>
          <w:rFonts w:ascii="Courier New" w:cs="Courier New" w:eastAsia="Courier New" w:hAnsi="Courier New"/>
          <w:sz w:val="20"/>
          <w:szCs w:val="20"/>
        </w:rPr>
        <w:t xml:space="preserve">output_base = '/path/to/outputs/'</w:t>
      </w:r>
    </w:p>
    <w:p>
      <w:pPr>
        <w:spacing w:after="60"/>
      </w:pPr>
    </w:p>
    <w:p>
      <w:pPr>
        <w:spacing w:after="60"/>
        <w:ind w:left="360"/>
      </w:pPr>
      <w:r>
        <w:rPr>
          <w:rFonts w:ascii="Courier New" w:cs="Courier New" w:eastAsia="Courier New" w:hAnsi="Courier New"/>
          <w:sz w:val="20"/>
          <w:szCs w:val="20"/>
        </w:rPr>
        <w:t xml:space="preserve">for i, scene in enumerate(scenes):</w:t>
      </w:r>
    </w:p>
    <w:p>
      <w:pPr>
        <w:spacing w:after="60"/>
        <w:ind w:left="360"/>
      </w:pPr>
      <w:r>
        <w:rPr>
          <w:rFonts w:ascii="Courier New" w:cs="Courier New" w:eastAsia="Courier New" w:hAnsi="Courier New"/>
          <w:sz w:val="20"/>
          <w:szCs w:val="20"/>
        </w:rPr>
        <w:t xml:space="preserve">    scene_name = f'Scene_{i+1}'</w:t>
      </w:r>
    </w:p>
    <w:p>
      <w:pPr>
        <w:spacing w:after="60"/>
        <w:ind w:left="360"/>
      </w:pPr>
      <w:r>
        <w:rPr>
          <w:rFonts w:ascii="Courier New" w:cs="Courier New" w:eastAsia="Courier New" w:hAnsi="Courier New"/>
          <w:sz w:val="20"/>
          <w:szCs w:val="20"/>
        </w:rPr>
        <w:t xml:space="preserve">    output_dir = f'{output_base}/{scene_name}'</w:t>
      </w:r>
    </w:p>
    <w:p>
      <w:pPr>
        <w:spacing w:after="60"/>
        <w:ind w:left="360"/>
      </w:pPr>
      <w:r>
        <w:rPr>
          <w:rFonts w:ascii="Courier New" w:cs="Courier New" w:eastAsia="Courier New" w:hAnsi="Courier New"/>
          <w:sz w:val="20"/>
          <w:szCs w:val="20"/>
        </w:rPr>
        <w:t xml:space="preserve">    params = {</w:t>
      </w:r>
    </w:p>
    <w:p>
      <w:pPr>
        <w:spacing w:after="60"/>
        <w:ind w:left="360"/>
      </w:pPr>
      <w:r>
        <w:rPr>
          <w:rFonts w:ascii="Courier New" w:cs="Courier New" w:eastAsia="Courier New" w:hAnsi="Courier New"/>
          <w:sz w:val="20"/>
          <w:szCs w:val="20"/>
        </w:rPr>
        <w:t xml:space="preserve">        'select_prisma_file': scene,</w:t>
      </w:r>
    </w:p>
    <w:p>
      <w:pPr>
        <w:spacing w:after="60"/>
        <w:ind w:left="360"/>
      </w:pPr>
      <w:r>
        <w:rPr>
          <w:rFonts w:ascii="Courier New" w:cs="Courier New" w:eastAsia="Courier New" w:hAnsi="Courier New"/>
          <w:sz w:val="20"/>
          <w:szCs w:val="20"/>
        </w:rPr>
        <w:t xml:space="preserve">        'select_directory': output_dir,</w:t>
      </w:r>
    </w:p>
    <w:p>
      <w:pPr>
        <w:spacing w:after="60"/>
        <w:ind w:left="360"/>
      </w:pPr>
      <w:r>
        <w:rPr>
          <w:rFonts w:ascii="Courier New" w:cs="Courier New" w:eastAsia="Courier New" w:hAnsi="Courier New"/>
          <w:sz w:val="20"/>
          <w:szCs w:val="20"/>
        </w:rPr>
        <w:t xml:space="preserve">        'output_prefix': scene_name</w:t>
      </w:r>
    </w:p>
    <w:p>
      <w:pPr>
        <w:spacing w:after="60"/>
        <w:ind w:left="360"/>
      </w:pPr>
      <w:r>
        <w:rPr>
          <w:rFonts w:ascii="Courier New" w:cs="Courier New" w:eastAsia="Courier New" w:hAnsi="Courier New"/>
          <w:sz w:val="20"/>
          <w:szCs w:val="20"/>
        </w:rPr>
        <w:t xml:space="preserve">    }</w:t>
      </w:r>
    </w:p>
    <w:p>
      <w:pPr>
        <w:spacing w:after="60"/>
        <w:ind w:left="360"/>
      </w:pPr>
      <w:r>
        <w:rPr>
          <w:rFonts w:ascii="Courier New" w:cs="Courier New" w:eastAsia="Courier New" w:hAnsi="Courier New"/>
          <w:sz w:val="20"/>
          <w:szCs w:val="20"/>
        </w:rPr>
        <w:t xml:space="preserve">    processing.run(</w:t>
      </w:r>
    </w:p>
    <w:p>
      <w:pPr>
        <w:spacing w:after="60"/>
        <w:ind w:left="360"/>
      </w:pPr>
      <w:r>
        <w:rPr>
          <w:rFonts w:ascii="Courier New" w:cs="Courier New" w:eastAsia="Courier New" w:hAnsi="Courier New"/>
          <w:sz w:val="20"/>
          <w:szCs w:val="20"/>
        </w:rPr>
        <w:t xml:space="preserve">        'prismaprocessor:PRISMA_ENVI_Indices',</w:t>
      </w:r>
    </w:p>
    <w:p>
      <w:pPr>
        <w:spacing w:after="60"/>
        <w:ind w:left="360"/>
      </w:pPr>
      <w:r>
        <w:rPr>
          <w:rFonts w:ascii="Courier New" w:cs="Courier New" w:eastAsia="Courier New" w:hAnsi="Courier New"/>
          <w:sz w:val="20"/>
          <w:szCs w:val="20"/>
        </w:rPr>
        <w:t xml:space="preserve">        params</w:t>
      </w:r>
    </w:p>
    <w:p>
      <w:pPr>
        <w:spacing w:after="60"/>
        <w:ind w:left="360"/>
      </w:pPr>
      <w:r>
        <w:rPr>
          <w:rFonts w:ascii="Courier New" w:cs="Courier New" w:eastAsia="Courier New" w:hAnsi="Courier New"/>
          <w:sz w:val="20"/>
          <w:szCs w:val="20"/>
        </w:rPr>
        <w:t xml:space="preserve">    )</w:t>
      </w:r>
    </w:p>
    <w:p>
      <w:r>
        <w:br w:type="page"/>
      </w:r>
    </w:p>
    <w:p>
      <w:pPr>
        <w:pStyle w:val="Heading1"/>
        <w:spacing w:before="360" w:after="200"/>
      </w:pPr>
      <w:r>
        <w:t xml:space="preserve">10. Troubleshooting</w:t>
      </w:r>
    </w:p>
    <w:p>
      <w:pPr>
        <w:pStyle w:val="Heading3"/>
        <w:spacing w:before="200" w:after="120"/>
      </w:pPr>
      <w:r>
        <w:t xml:space="preserve">EnMAP-Box algorithms not found</w:t>
      </w:r>
    </w:p>
    <w:p>
      <w:pPr>
        <w:spacing w:after="120"/>
      </w:pPr>
      <w:r>
        <w:rPr>
          <w:rFonts w:ascii="Arial" w:cs="Arial" w:eastAsia="Arial" w:hAnsi="Arial"/>
          <w:sz w:val="22"/>
          <w:szCs w:val="22"/>
        </w:rPr>
        <w:t xml:space="preserve">The EnMAP-Box plugin is not installed or not enabled. Install it from the QGIS Plugin Repository and restart QGIS.</w:t>
      </w:r>
    </w:p>
    <w:p>
      <w:pPr>
        <w:pStyle w:val="Heading3"/>
        <w:spacing w:before="200" w:after="120"/>
      </w:pPr>
      <w:r>
        <w:t xml:space="preserve">PRISMA import fails</w:t>
      </w:r>
    </w:p>
    <w:p>
      <w:pPr>
        <w:spacing w:after="120"/>
      </w:pPr>
      <w:r>
        <w:rPr>
          <w:rFonts w:ascii="Arial" w:cs="Arial" w:eastAsia="Arial" w:hAnsi="Arial"/>
          <w:sz w:val="22"/>
          <w:szCs w:val="22"/>
        </w:rPr>
        <w:t xml:space="preserve">Verify that your file is a valid PRISMA L2D product in HDF5 format (.he5). Check that the file is not corrupted and that it contains the expected spectral and panchromatic datasets. Also confirm the EnMAP-Box version supports PRISMA L2D import.</w:t>
      </w:r>
    </w:p>
    <w:p>
      <w:pPr>
        <w:pStyle w:val="Heading3"/>
        <w:spacing w:before="200" w:after="120"/>
      </w:pPr>
      <w:r>
        <w:t xml:space="preserve">Output directory not writable or does not exist</w:t>
      </w:r>
    </w:p>
    <w:p>
      <w:pPr>
        <w:spacing w:after="120"/>
      </w:pPr>
      <w:r>
        <w:rPr>
          <w:rFonts w:ascii="Arial" w:cs="Arial" w:eastAsia="Arial" w:hAnsi="Arial"/>
          <w:sz w:val="22"/>
          <w:szCs w:val="22"/>
        </w:rPr>
        <w:t xml:space="preserve">The output directory must exist before running the plugin. Create the directory manually, ensure you have write permissions, and avoid special characters or spaces in the path.</w:t>
      </w:r>
    </w:p>
    <w:p>
      <w:pPr>
        <w:pStyle w:val="Heading3"/>
        <w:spacing w:before="200" w:after="120"/>
      </w:pPr>
      <w:r>
        <w:t xml:space="preserve">Processing is very slow</w:t>
      </w:r>
    </w:p>
    <w:p>
      <w:pPr>
        <w:spacing w:after="120"/>
      </w:pPr>
      <w:r>
        <w:rPr>
          <w:rFonts w:ascii="Arial" w:cs="Arial" w:eastAsia="Arial" w:hAnsi="Arial"/>
          <w:sz w:val="22"/>
          <w:szCs w:val="22"/>
        </w:rPr>
        <w:t xml:space="preserve">PRISMA files are large (2–5 GB) and processing is computationally intensive. Use an SSD for the output directory, close unnecessary applications, and avoid network drives.</w:t>
      </w:r>
    </w:p>
    <w:p>
      <w:pPr>
        <w:pStyle w:val="Heading3"/>
        <w:spacing w:before="200" w:after="120"/>
      </w:pPr>
      <w:r>
        <w:t xml:space="preserve">Out of memory errors</w:t>
      </w:r>
    </w:p>
    <w:p>
      <w:pPr>
        <w:spacing w:after="120"/>
      </w:pPr>
      <w:r>
        <w:rPr>
          <w:rFonts w:ascii="Arial" w:cs="Arial" w:eastAsia="Arial" w:hAnsi="Arial"/>
          <w:sz w:val="22"/>
          <w:szCs w:val="22"/>
        </w:rPr>
        <w:t xml:space="preserve">Close other applications to free RAM. PRISMA scenes are memory-intensive; 16 GB or more is recommended. For very large scenes, consider processing spatial subsets.</w:t>
      </w:r>
    </w:p>
    <w:p>
      <w:pPr>
        <w:pStyle w:val="Heading3"/>
        <w:spacing w:before="200" w:after="120"/>
      </w:pPr>
      <w:r>
        <w:t xml:space="preserve">Some index values look anomalous</w:t>
      </w:r>
    </w:p>
    <w:p>
      <w:pPr>
        <w:spacing w:after="120"/>
      </w:pPr>
      <w:r>
        <w:rPr>
          <w:rFonts w:ascii="Arial" w:cs="Arial" w:eastAsia="Arial" w:hAnsi="Arial"/>
          <w:sz w:val="22"/>
          <w:szCs w:val="22"/>
        </w:rPr>
        <w:t xml:space="preserve">Check input data quality, particularly for cloud-affected or shadowed pixels. Apply quality masks before interpretation. Verify that the PRISMA L2D atmospheric correction was successful.</w:t>
      </w:r>
    </w:p>
    <w:p>
      <w:pPr>
        <w:pStyle w:val="Heading3"/>
        <w:spacing w:before="200" w:after="120"/>
      </w:pPr>
      <w:r>
        <w:t xml:space="preserve">Results do not load into the project</w:t>
      </w:r>
    </w:p>
    <w:p>
      <w:pPr>
        <w:spacing w:after="120"/>
      </w:pPr>
      <w:r>
        <w:rPr>
          <w:rFonts w:ascii="Arial" w:cs="Arial" w:eastAsia="Arial" w:hAnsi="Arial"/>
          <w:sz w:val="22"/>
          <w:szCs w:val="22"/>
        </w:rPr>
        <w:t xml:space="preserve">Check that the output directory exists and files were created. If automatic loading fails, add layers manually: Layer &gt; Add Layer &gt; Add Raster Layer, then navigate to the output directory.</w:t>
      </w:r>
    </w:p>
    <w:p>
      <w:pPr>
        <w:pStyle w:val="Heading2"/>
        <w:spacing w:before="280" w:after="160"/>
      </w:pPr>
      <w:r>
        <w:t xml:space="preserve">10.1 Checking the Processing Log</w:t>
      </w:r>
    </w:p>
    <w:p>
      <w:pPr>
        <w:spacing w:after="120"/>
      </w:pPr>
      <w:r>
        <w:rPr>
          <w:rFonts w:ascii="Arial" w:cs="Arial" w:eastAsia="Arial" w:hAnsi="Arial"/>
          <w:sz w:val="22"/>
          <w:szCs w:val="22"/>
        </w:rPr>
        <w:t xml:space="preserve">The processing log provides detailed step-by-step information. During processing, the log is displayed in the processing dialog. After processing, check View &gt; Panels &gt; Log Messages for any warnings or errors.</w:t>
      </w:r>
    </w:p>
    <w:p>
      <w:r>
        <w:br w:type="page"/>
      </w:r>
    </w:p>
    <w:p>
      <w:pPr>
        <w:pStyle w:val="Heading1"/>
        <w:spacing w:before="360" w:after="200"/>
      </w:pPr>
      <w:r>
        <w:t xml:space="preserve">11. Data Sources and References</w:t>
      </w:r>
    </w:p>
    <w:p>
      <w:pPr>
        <w:pStyle w:val="Heading2"/>
        <w:spacing w:before="280" w:after="160"/>
      </w:pPr>
      <w:r>
        <w:t xml:space="preserve">11.1 Data Access</w:t>
      </w:r>
    </w:p>
    <w:p>
      <w:pPr>
        <w:spacing w:after="120"/>
      </w:pPr>
      <w:r>
        <w:rPr>
          <w:rFonts w:ascii="Arial" w:cs="Arial" w:eastAsia="Arial" w:hAnsi="Arial"/>
          <w:b/>
          <w:bCs/>
          <w:sz w:val="22"/>
          <w:szCs w:val="22"/>
        </w:rPr>
        <w:t xml:space="preserve">ASI PRISMA Portal: </w:t>
      </w:r>
      <w:r>
        <w:rPr>
          <w:rFonts w:ascii="Arial" w:cs="Arial" w:eastAsia="Arial" w:hAnsi="Arial"/>
          <w:sz w:val="22"/>
          <w:szCs w:val="22"/>
        </w:rPr>
        <w:t xml:space="preserve">http://www.asi.it/en/earth-science/prisma</w:t>
      </w:r>
    </w:p>
    <w:p>
      <w:pPr>
        <w:spacing w:after="120"/>
      </w:pPr>
      <w:r>
        <w:rPr>
          <w:rFonts w:ascii="Arial" w:cs="Arial" w:eastAsia="Arial" w:hAnsi="Arial"/>
          <w:sz w:val="22"/>
          <w:szCs w:val="22"/>
        </w:rPr>
        <w:t xml:space="preserve">Register and submit data requests to download PRISMA L2D products.</w:t>
      </w:r>
    </w:p>
    <w:p>
      <w:pPr>
        <w:spacing w:after="60"/>
      </w:pPr>
    </w:p>
    <w:p>
      <w:pPr>
        <w:spacing w:after="120"/>
      </w:pPr>
      <w:r>
        <w:rPr>
          <w:rFonts w:ascii="Arial" w:cs="Arial" w:eastAsia="Arial" w:hAnsi="Arial"/>
          <w:b/>
          <w:bCs/>
          <w:sz w:val="22"/>
          <w:szCs w:val="22"/>
        </w:rPr>
        <w:t xml:space="preserve">PRISMA Mission Information: </w:t>
      </w:r>
      <w:r>
        <w:rPr>
          <w:rFonts w:ascii="Arial" w:cs="Arial" w:eastAsia="Arial" w:hAnsi="Arial"/>
          <w:sz w:val="22"/>
          <w:szCs w:val="22"/>
        </w:rPr>
        <w:t xml:space="preserve">https://www.asi.it/scienze-della-terra/prisma/</w:t>
      </w:r>
    </w:p>
    <w:p>
      <w:pPr>
        <w:spacing w:after="120"/>
      </w:pPr>
      <w:r>
        <w:rPr>
          <w:rFonts w:ascii="Arial" w:cs="Arial" w:eastAsia="Arial" w:hAnsi="Arial"/>
          <w:sz w:val="22"/>
          <w:szCs w:val="22"/>
        </w:rPr>
        <w:t xml:space="preserve">Official ASI mission page with technical specifications and publications.</w:t>
      </w:r>
    </w:p>
    <w:p>
      <w:pPr>
        <w:pStyle w:val="Heading2"/>
        <w:spacing w:before="280" w:after="160"/>
      </w:pPr>
      <w:r>
        <w:t xml:space="preserve">11.2 Related Software</w:t>
      </w:r>
    </w:p>
    <w:p>
      <w:pPr>
        <w:spacing w:after="120"/>
      </w:pPr>
      <w:r>
        <w:rPr>
          <w:rFonts w:ascii="Arial" w:cs="Arial" w:eastAsia="Arial" w:hAnsi="Arial"/>
          <w:b/>
          <w:bCs/>
          <w:sz w:val="22"/>
          <w:szCs w:val="22"/>
        </w:rPr>
        <w:t xml:space="preserve">EnMAP-Box: </w:t>
      </w:r>
      <w:r>
        <w:rPr>
          <w:rFonts w:ascii="Arial" w:cs="Arial" w:eastAsia="Arial" w:hAnsi="Arial"/>
          <w:sz w:val="22"/>
          <w:szCs w:val="22"/>
        </w:rPr>
        <w:t xml:space="preserve">https://enmap-box.readthedocs.io/</w:t>
      </w:r>
    </w:p>
    <w:p>
      <w:pPr>
        <w:spacing w:after="120"/>
      </w:pPr>
      <w:r>
        <w:rPr>
          <w:rFonts w:ascii="Arial" w:cs="Arial" w:eastAsia="Arial" w:hAnsi="Arial"/>
          <w:sz w:val="22"/>
          <w:szCs w:val="22"/>
        </w:rPr>
        <w:t xml:space="preserve">Provides the PRISMA import and raster processing algorithms used by this plugin.</w:t>
      </w:r>
    </w:p>
    <w:p>
      <w:pPr>
        <w:spacing w:after="60"/>
      </w:pPr>
    </w:p>
    <w:p>
      <w:pPr>
        <w:spacing w:after="120"/>
      </w:pPr>
      <w:r>
        <w:rPr>
          <w:rFonts w:ascii="Arial" w:cs="Arial" w:eastAsia="Arial" w:hAnsi="Arial"/>
          <w:b/>
          <w:bCs/>
          <w:sz w:val="22"/>
          <w:szCs w:val="22"/>
        </w:rPr>
        <w:t xml:space="preserve">QGIS Documentation: </w:t>
      </w:r>
      <w:r>
        <w:rPr>
          <w:rFonts w:ascii="Arial" w:cs="Arial" w:eastAsia="Arial" w:hAnsi="Arial"/>
          <w:sz w:val="22"/>
          <w:szCs w:val="22"/>
        </w:rPr>
        <w:t xml:space="preserve">https://docs.qgis.org/</w:t>
      </w:r>
    </w:p>
    <w:p>
      <w:pPr>
        <w:spacing w:after="120"/>
      </w:pPr>
      <w:r>
        <w:rPr>
          <w:rFonts w:ascii="Arial" w:cs="Arial" w:eastAsia="Arial" w:hAnsi="Arial"/>
          <w:sz w:val="22"/>
          <w:szCs w:val="22"/>
        </w:rPr>
        <w:t xml:space="preserve">Official QGIS documentation including the Processing Framework reference.</w:t>
      </w:r>
    </w:p>
    <w:p>
      <w:pPr>
        <w:pStyle w:val="Heading2"/>
        <w:spacing w:before="280" w:after="160"/>
      </w:pPr>
      <w:r>
        <w:t xml:space="preserve">11.3 Citation</w:t>
      </w:r>
    </w:p>
    <w:p>
      <w:pPr>
        <w:spacing w:after="120"/>
      </w:pPr>
      <w:r>
        <w:rPr>
          <w:rFonts w:ascii="Arial" w:cs="Arial" w:eastAsia="Arial" w:hAnsi="Arial"/>
          <w:sz w:val="22"/>
          <w:szCs w:val="22"/>
        </w:rPr>
        <w:t xml:space="preserve">If you use this plugin in your research, please cite the PRISMA mission:</w:t>
      </w:r>
    </w:p>
    <w:p>
      <w:pPr>
        <w:spacing w:after="60"/>
      </w:pPr>
    </w:p>
    <w:p>
      <w:pPr>
        <w:spacing w:after="120"/>
      </w:pPr>
      <w:r>
        <w:rPr>
          <w:rFonts w:ascii="Arial" w:cs="Arial" w:eastAsia="Arial" w:hAnsi="Arial"/>
          <w:i/>
          <w:iCs/>
          <w:sz w:val="22"/>
          <w:szCs w:val="22"/>
        </w:rPr>
        <w:t xml:space="preserve">Loizzo, R., et al. (2018). PRISMA: The Italian Hyperspectral Mission. In: IGARSS 2018 – IEEE International Geoscience and Remote Sensing Symposium.</w:t>
      </w:r>
    </w:p>
    <w:p>
      <w:pPr>
        <w:pStyle w:val="Heading2"/>
        <w:spacing w:before="280" w:after="160"/>
      </w:pPr>
      <w:r>
        <w:t xml:space="preserve">11.4 Compatibility</w:t>
      </w:r>
    </w:p>
    <w:p>
      <w:pPr>
        <w:spacing w:after="120"/>
      </w:pPr>
      <w:r>
        <w:rPr>
          <w:rFonts w:ascii="Arial" w:cs="Arial" w:eastAsia="Arial" w:hAnsi="Arial"/>
          <w:sz w:val="22"/>
          <w:szCs w:val="22"/>
        </w:rPr>
        <w:t xml:space="preserve">The output GeoTIFF files are compatible with all major geospatial software including ENVI, ArcGIS Pro, Google Earth Engine, and Python libraries such as GDAL, Rasterio, and the raster package in R.</w:t>
      </w:r>
    </w:p>
    <w:p>
      <w:pPr>
        <w:spacing w:after="60"/>
      </w:pPr>
    </w:p>
    <w:p>
      <w:pPr>
        <w:spacing w:after="60"/>
      </w:pPr>
    </w:p>
    <w:p>
      <w:pPr>
        <w:pBdr>
          <w:top w:val="single" w:color="5B2E86" w:sz="6" w:space="8"/>
        </w:pBdr>
        <w:spacing w:before="400" w:after="200"/>
        <w:jc w:val="center"/>
      </w:pPr>
    </w:p>
    <w:p>
      <w:pPr>
        <w:spacing w:after="100"/>
        <w:jc w:val="center"/>
      </w:pPr>
      <w:r>
        <w:rPr>
          <w:rFonts w:ascii="Arial" w:cs="Arial" w:eastAsia="Arial" w:hAnsi="Arial"/>
          <w:i/>
          <w:iCs/>
          <w:color w:val="888888"/>
          <w:sz w:val="22"/>
          <w:szCs w:val="22"/>
        </w:rPr>
        <w:t xml:space="preserve">End of User Guide</w:t>
      </w:r>
    </w:p>
    <w:p>
      <w:pPr>
        <w:jc w:val="center"/>
      </w:pPr>
      <w:r>
        <w:rPr>
          <w:rFonts w:ascii="Arial" w:cs="Arial" w:eastAsia="Arial" w:hAnsi="Arial"/>
          <w:color w:val="AAAAAA"/>
          <w:sz w:val="20"/>
          <w:szCs w:val="20"/>
        </w:rPr>
        <w:t xml:space="preserve">PRISMA_QGIS_v1_0 – Version 1.0 – February 2026</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PRISMA_QGIS_v1_0 User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888888"/>
        <w:sz w:val="18"/>
        <w:szCs w:val="18"/>
      </w:rPr>
      <w:t xml:space="preserve">PRISMA_QGIS_v1_0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A156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5B2E8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A4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2026-02-15T07:18:21.081Z</dcterms:created>
  <dcterms:modified xsi:type="dcterms:W3CDTF">2026-02-15T07:18:21.082Z</dcterms:modified>
</cp:coreProperties>
</file>

<file path=docProps/custom.xml><?xml version="1.0" encoding="utf-8"?>
<Properties xmlns="http://schemas.openxmlformats.org/officeDocument/2006/custom-properties" xmlns:vt="http://schemas.openxmlformats.org/officeDocument/2006/docPropsVTypes"/>
</file>