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CB" w:rsidRDefault="00163709">
      <w:pPr>
        <w:pStyle w:val="Title"/>
      </w:pPr>
      <w:r>
        <w:t>Untitled</w:t>
      </w:r>
    </w:p>
    <w:p w:rsidR="00AC7DCB" w:rsidRDefault="00163709">
      <w:pPr>
        <w:pStyle w:val="Author"/>
      </w:pPr>
      <w:r>
        <w:t>Grant Adams</w:t>
      </w:r>
    </w:p>
    <w:p w:rsidR="00AC7DCB" w:rsidRDefault="00163709">
      <w:pPr>
        <w:pStyle w:val="Date"/>
      </w:pPr>
      <w:r>
        <w:t>January 3, 2019</w:t>
      </w:r>
    </w:p>
    <w:p w:rsidR="00AC7DCB" w:rsidRDefault="00163709">
      <w:pPr>
        <w:pStyle w:val="FirstParagraph"/>
      </w:pPr>
      <w:r>
        <w:t>CEATTLE is short for Climate-Enhanced, Age-based model with Temperature-specific Trophic Linkages and Energetics, which is a multi-species age-structured assessment model developed for groundfish in the Bering Sea, USA by Holsman et al. (2015). To incorpor</w:t>
      </w:r>
      <w:r>
        <w:t>ate the impacts of climate, the model includes temperature-dependent von Bertalanffy weight-at-age functions (VBGF) and temperature-specific, bioenergetics-based predation interactions. Inputs of the model include U.S. National Marine Fisheries Service Ala</w:t>
      </w:r>
      <w:r>
        <w:t>ska Fisheries Science Center (AFSC) survey and fishery data. Outputs include historical estimates of predation mortality, fishing mortality, biomass, recruitment, etc.</w:t>
      </w:r>
    </w:p>
    <w:p w:rsidR="00AC7DCB" w:rsidRDefault="00163709">
      <w:pPr>
        <w:pStyle w:val="BodyText"/>
      </w:pPr>
      <w:r>
        <w:rPr>
          <w:rStyle w:val="VerbatimChar"/>
        </w:rPr>
        <w:t>Rceattle</w:t>
      </w:r>
      <w:r>
        <w:t xml:space="preserve"> is an </w:t>
      </w:r>
      <w:r>
        <w:rPr>
          <w:rStyle w:val="VerbatimChar"/>
        </w:rPr>
        <w:t>R</w:t>
      </w:r>
      <w:r>
        <w:t xml:space="preserve"> package designed to implement the CEATTLE model using Template Model Bu</w:t>
      </w:r>
      <w:r>
        <w:t>ilder (</w:t>
      </w:r>
      <w:r>
        <w:rPr>
          <w:rStyle w:val="VerbatimChar"/>
        </w:rPr>
        <w:t>TMB</w:t>
      </w:r>
      <w:r>
        <w:t>; Kristensen et al. (2015)). Rceattle is structured similar to the original manuscript in terms of modularization. Seperate functions (i.e. modules) estimate retrospective temperature- and size-specific predator rations, prey preference, and weig</w:t>
      </w:r>
      <w:r>
        <w:t>ht-at- age. These are then used as inputs to the CE</w:t>
      </w:r>
      <w:bookmarkStart w:id="0" w:name="_GoBack"/>
      <w:bookmarkEnd w:id="0"/>
      <w:r>
        <w:t xml:space="preserve">ATTLE model to evaluate how predation mortality, recruitment, and survival of three target species change under historical climate conditions and harvest rates. Estimates from CEATTLE in </w:t>
      </w:r>
      <w:r>
        <w:rPr>
          <w:rStyle w:val="VerbatimChar"/>
        </w:rPr>
        <w:t>Rceattle</w:t>
      </w:r>
      <w:r>
        <w:t xml:space="preserve"> can then </w:t>
      </w:r>
      <w:r>
        <w:t>be forward projected to derive estimates of unfished biomass and fishing mortality under future climate conditions and various harvest scenarios.</w:t>
      </w:r>
    </w:p>
    <w:p w:rsidR="00AC7DCB" w:rsidRDefault="00163709">
      <w:pPr>
        <w:pStyle w:val="BodyText"/>
      </w:pPr>
      <w:r>
        <w:t xml:space="preserve">Currently </w:t>
      </w:r>
      <w:r>
        <w:rPr>
          <w:rStyle w:val="VerbatimChar"/>
        </w:rPr>
        <w:t>RCeattle</w:t>
      </w:r>
      <w:r>
        <w:t xml:space="preserve"> takes CEATTLE ADMB based inputs and estimates them in </w:t>
      </w:r>
      <w:r>
        <w:rPr>
          <w:rStyle w:val="VerbatimChar"/>
        </w:rPr>
        <w:t>TMB</w:t>
      </w:r>
      <w:r>
        <w:t xml:space="preserve">. To run </w:t>
      </w:r>
      <w:r>
        <w:rPr>
          <w:rStyle w:val="VerbatimChar"/>
        </w:rPr>
        <w:t>Rceattle</w:t>
      </w:r>
      <w:r>
        <w:t xml:space="preserve"> a user selects a</w:t>
      </w:r>
      <w:r>
        <w:t xml:space="preserve"> control file located in a data directory with </w:t>
      </w:r>
      <w:r>
        <w:rPr>
          <w:rStyle w:val="VerbatimChar"/>
        </w:rPr>
        <w:t>.dat</w:t>
      </w:r>
      <w:r>
        <w:t xml:space="preserve"> files used in ADMB. The model will then initialize assuming </w:t>
      </w:r>
      <m:oMath>
        <m:r>
          <w:rPr>
            <w:rFonts w:ascii="Cambria Math" w:hAnsi="Cambria Math"/>
          </w:rPr>
          <m:t>0</m:t>
        </m:r>
      </m:oMath>
      <w:r>
        <w:t xml:space="preserve"> for all parameters unless a parameter list is provided or </w:t>
      </w:r>
      <w:r>
        <w:rPr>
          <w:rStyle w:val="VerbatimChar"/>
        </w:rPr>
        <w:t>"ceattle.par"</w:t>
      </w:r>
      <w:r>
        <w:t xml:space="preserve"> or </w:t>
      </w:r>
      <w:r>
        <w:rPr>
          <w:rStyle w:val="VerbatimChar"/>
        </w:rPr>
        <w:t>"ceattle_par.std"</w:t>
      </w:r>
      <w:r>
        <w:t xml:space="preserve"> is selected. In the later case, a .par or .std fi</w:t>
      </w:r>
      <w:r>
        <w:t xml:space="preserve">le provided from a previously estimated ADMB model must by included in the folder prior to the data directory. Currently, .dat files and ADMB outputs are included in the </w:t>
      </w:r>
      <w:r>
        <w:rPr>
          <w:rStyle w:val="VerbatimChar"/>
        </w:rPr>
        <w:t>\data</w:t>
      </w:r>
      <w:r>
        <w:t xml:space="preserve"> folder.</w:t>
      </w:r>
    </w:p>
    <w:p w:rsidR="00AC7DCB" w:rsidRDefault="00163709">
      <w:pPr>
        <w:pStyle w:val="Heading1"/>
      </w:pPr>
      <w:bookmarkStart w:id="1" w:name="example"/>
      <w:bookmarkEnd w:id="1"/>
      <w:r>
        <w:t>Example</w:t>
      </w:r>
    </w:p>
    <w:p w:rsidR="00AC7DCB" w:rsidRDefault="00163709">
      <w:pPr>
        <w:pStyle w:val="FirstParagraph"/>
      </w:pPr>
      <w:r>
        <w:t>For example, to run the 2017 single species assessment for the B</w:t>
      </w:r>
      <w:r>
        <w:t>ering Sea, a data file must first be created:</w:t>
      </w:r>
    </w:p>
    <w:p w:rsidR="00AC7DCB" w:rsidRDefault="00163709">
      <w:pPr>
        <w:pStyle w:val="SourceCode"/>
      </w:pPr>
      <w:r>
        <w:rPr>
          <w:rStyle w:val="NormalTok"/>
        </w:rPr>
        <w:t>data_list_ss &lt;-</w:t>
      </w:r>
      <w:r>
        <w:rPr>
          <w:rStyle w:val="StringTok"/>
        </w:rPr>
        <w:t xml:space="preserve"> </w:t>
      </w:r>
      <w:r>
        <w:rPr>
          <w:rStyle w:val="KeywordTok"/>
        </w:rPr>
        <w:t>build_dat</w:t>
      </w:r>
      <w:r>
        <w:rPr>
          <w:rStyle w:val="NormalTok"/>
        </w:rPr>
        <w:t>(</w:t>
      </w:r>
      <w:r>
        <w:rPr>
          <w:rStyle w:val="DataTypeTok"/>
        </w:rPr>
        <w:t>ctlFilename =</w:t>
      </w:r>
      <w:r>
        <w:rPr>
          <w:rStyle w:val="NormalTok"/>
        </w:rPr>
        <w:t xml:space="preserve"> </w:t>
      </w:r>
      <w:r>
        <w:rPr>
          <w:rStyle w:val="StringTok"/>
        </w:rPr>
        <w:t>"asmnt2017_0A_corrected"</w:t>
      </w:r>
      <w:r>
        <w:rPr>
          <w:rStyle w:val="NormalTok"/>
        </w:rPr>
        <w:t xml:space="preserve">, </w:t>
      </w:r>
      <w:r>
        <w:rPr>
          <w:rStyle w:val="DataTypeTok"/>
        </w:rPr>
        <w:t>TMBfilename =</w:t>
      </w:r>
      <w:r>
        <w:rPr>
          <w:rStyle w:val="NormalTok"/>
        </w:rPr>
        <w:t xml:space="preserve"> </w:t>
      </w:r>
      <w:r>
        <w:rPr>
          <w:rStyle w:val="StringTok"/>
        </w:rPr>
        <w:t>"ceattle_v01_02"</w:t>
      </w:r>
      <w:r>
        <w:rPr>
          <w:rStyle w:val="NormalTok"/>
        </w:rPr>
        <w:t xml:space="preserve">, </w:t>
      </w:r>
      <w:r>
        <w:rPr>
          <w:rStyle w:val="DataTypeTok"/>
        </w:rPr>
        <w:t>dat_dir =</w:t>
      </w:r>
      <w:r>
        <w:rPr>
          <w:rStyle w:val="NormalTok"/>
        </w:rPr>
        <w:t xml:space="preserve"> </w:t>
      </w:r>
      <w:r>
        <w:rPr>
          <w:rStyle w:val="StringTok"/>
        </w:rPr>
        <w:t>"data/BSAI/BS_SS_Files/dat files/"</w:t>
      </w:r>
      <w:r>
        <w:rPr>
          <w:rStyle w:val="NormalTok"/>
        </w:rPr>
        <w:t xml:space="preserve">, </w:t>
      </w:r>
      <w:r>
        <w:rPr>
          <w:rStyle w:val="DataTypeTok"/>
        </w:rPr>
        <w:t>nspp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C7DCB" w:rsidRDefault="00163709">
      <w:pPr>
        <w:pStyle w:val="FirstParagraph"/>
      </w:pPr>
      <w:r>
        <w:t xml:space="preserve">Then the model can be fit by setting </w:t>
      </w:r>
      <w:r>
        <w:rPr>
          <w:rStyle w:val="VerbatimChar"/>
        </w:rPr>
        <w:t>msmMode = 0</w:t>
      </w:r>
      <w:r>
        <w:t xml:space="preserve"> using t</w:t>
      </w:r>
      <w:r>
        <w:t xml:space="preserve">he </w:t>
      </w:r>
      <w:r>
        <w:rPr>
          <w:rStyle w:val="VerbatimChar"/>
        </w:rPr>
        <w:t>Rceattle</w:t>
      </w:r>
      <w:r>
        <w:t xml:space="preserve"> function:</w:t>
      </w:r>
    </w:p>
    <w:p w:rsidR="00AC7DCB" w:rsidRDefault="00163709">
      <w:pPr>
        <w:pStyle w:val="SourceCode"/>
      </w:pPr>
      <w:r>
        <w:rPr>
          <w:rStyle w:val="NormalTok"/>
        </w:rPr>
        <w:t>ss_run &lt;-</w:t>
      </w:r>
      <w:r>
        <w:rPr>
          <w:rStyle w:val="StringTok"/>
        </w:rPr>
        <w:t xml:space="preserve"> </w:t>
      </w:r>
      <w:r>
        <w:rPr>
          <w:rStyle w:val="KeywordTok"/>
        </w:rPr>
        <w:t>Rceattle</w:t>
      </w:r>
      <w:r>
        <w:rPr>
          <w:rStyle w:val="NormalTok"/>
        </w:rPr>
        <w:t>(</w:t>
      </w:r>
      <w:r>
        <w:rPr>
          <w:rStyle w:val="DataTypeTok"/>
        </w:rPr>
        <w:t>TMBfilename =</w:t>
      </w:r>
      <w:r>
        <w:rPr>
          <w:rStyle w:val="NormalTok"/>
        </w:rPr>
        <w:t xml:space="preserve"> </w:t>
      </w:r>
      <w:r>
        <w:rPr>
          <w:rStyle w:val="StringTok"/>
        </w:rPr>
        <w:t>"ceattle_v01_02"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data_list =</w:t>
      </w:r>
      <w:r>
        <w:rPr>
          <w:rStyle w:val="NormalTok"/>
        </w:rPr>
        <w:t xml:space="preserve"> data_list_ss,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inits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CommentTok"/>
        </w:rPr>
        <w:t># Initial parameters = 0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file_name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CommentTok"/>
        </w:rPr>
        <w:t># Don't save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debug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CommentTok"/>
        </w:rPr>
        <w:t># Estimate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random_rec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CommentTok"/>
        </w:rPr>
        <w:t># No random recruitment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msmMode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CommentTok"/>
        </w:rPr>
        <w:t># Single species mode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avgnMode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silent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AC7DCB" w:rsidRDefault="00163709">
      <w:pPr>
        <w:pStyle w:val="FirstParagraph"/>
      </w:pPr>
      <w:r>
        <w:t>The you can plot the model results using using</w:t>
      </w:r>
    </w:p>
    <w:p w:rsidR="00AC7DCB" w:rsidRDefault="00163709">
      <w:pPr>
        <w:pStyle w:val="SourceCode"/>
      </w:pPr>
      <w:r>
        <w:rPr>
          <w:rStyle w:val="KeywordTok"/>
        </w:rPr>
        <w:lastRenderedPageBreak/>
        <w:t>plot_biomas</w:t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DataTypeTok"/>
        </w:rPr>
        <w:t>ceattle_list =</w:t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(ss_run))</w:t>
      </w:r>
      <w:r>
        <w:br/>
      </w:r>
      <w:r>
        <w:rPr>
          <w:rStyle w:val="KeywordTok"/>
        </w:rPr>
        <w:t>plot_recruitment</w:t>
      </w:r>
      <w:r>
        <w:rPr>
          <w:rStyle w:val="NormalTok"/>
        </w:rPr>
        <w:t>(</w:t>
      </w:r>
      <w:r>
        <w:rPr>
          <w:rStyle w:val="DataTypeTok"/>
        </w:rPr>
        <w:t>ceattle_list =</w:t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(ss_run))</w:t>
      </w:r>
    </w:p>
    <w:p w:rsidR="00AC7DCB" w:rsidRDefault="00163709">
      <w:pPr>
        <w:pStyle w:val="FirstParagraph"/>
      </w:pPr>
      <w:r>
        <w:t>For the 2017 multispecies model starting from the single species parameters, the following can be specified:</w:t>
      </w:r>
    </w:p>
    <w:p w:rsidR="00AC7DCB" w:rsidRDefault="00163709">
      <w:pPr>
        <w:pStyle w:val="SourceCode"/>
      </w:pPr>
      <w:r>
        <w:rPr>
          <w:rStyle w:val="NormalTok"/>
        </w:rPr>
        <w:t>data_list_ms &lt;-</w:t>
      </w:r>
      <w:r>
        <w:rPr>
          <w:rStyle w:val="StringTok"/>
        </w:rPr>
        <w:t xml:space="preserve"> </w:t>
      </w:r>
      <w:r>
        <w:rPr>
          <w:rStyle w:val="KeywordTok"/>
        </w:rPr>
        <w:t>build_dat</w:t>
      </w:r>
      <w:r>
        <w:rPr>
          <w:rStyle w:val="NormalTok"/>
        </w:rPr>
        <w:t>(</w:t>
      </w:r>
      <w:r>
        <w:rPr>
          <w:rStyle w:val="DataTypeTok"/>
        </w:rPr>
        <w:t>ctlFilename =</w:t>
      </w:r>
      <w:r>
        <w:rPr>
          <w:rStyle w:val="NormalTok"/>
        </w:rPr>
        <w:t xml:space="preserve"> </w:t>
      </w:r>
      <w:r>
        <w:rPr>
          <w:rStyle w:val="StringTok"/>
        </w:rPr>
        <w:t>"asmnt2017_2A_corrected"</w:t>
      </w:r>
      <w:r>
        <w:rPr>
          <w:rStyle w:val="NormalTok"/>
        </w:rPr>
        <w:t xml:space="preserve">, </w:t>
      </w:r>
      <w:r>
        <w:rPr>
          <w:rStyle w:val="DataTypeTok"/>
        </w:rPr>
        <w:t>TM</w:t>
      </w:r>
      <w:r>
        <w:rPr>
          <w:rStyle w:val="DataTypeTok"/>
        </w:rPr>
        <w:t>Bfilename =</w:t>
      </w:r>
      <w:r>
        <w:rPr>
          <w:rStyle w:val="NormalTok"/>
        </w:rPr>
        <w:t xml:space="preserve"> </w:t>
      </w:r>
      <w:r>
        <w:rPr>
          <w:rStyle w:val="StringTok"/>
        </w:rPr>
        <w:t>"ceattle_v01_02"</w:t>
      </w:r>
      <w:r>
        <w:rPr>
          <w:rStyle w:val="NormalTok"/>
        </w:rPr>
        <w:t xml:space="preserve">, </w:t>
      </w:r>
      <w:r>
        <w:rPr>
          <w:rStyle w:val="DataTypeTok"/>
        </w:rPr>
        <w:t>dat_dir =</w:t>
      </w:r>
      <w:r>
        <w:rPr>
          <w:rStyle w:val="NormalTok"/>
        </w:rPr>
        <w:t xml:space="preserve"> </w:t>
      </w:r>
      <w:r>
        <w:rPr>
          <w:rStyle w:val="StringTok"/>
        </w:rPr>
        <w:t>"data/BSAI/BS_MS_Files/dat files/"</w:t>
      </w:r>
      <w:r>
        <w:rPr>
          <w:rStyle w:val="NormalTok"/>
        </w:rPr>
        <w:t xml:space="preserve">, </w:t>
      </w:r>
      <w:r>
        <w:rPr>
          <w:rStyle w:val="DataTypeTok"/>
        </w:rPr>
        <w:t>nspp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ms_run &lt;-</w:t>
      </w:r>
      <w:r>
        <w:rPr>
          <w:rStyle w:val="StringTok"/>
        </w:rPr>
        <w:t xml:space="preserve"> </w:t>
      </w:r>
      <w:r>
        <w:rPr>
          <w:rStyle w:val="KeywordTok"/>
        </w:rPr>
        <w:t>Rceattle</w:t>
      </w:r>
      <w:r>
        <w:rPr>
          <w:rStyle w:val="NormalTok"/>
        </w:rPr>
        <w:t>(</w:t>
      </w:r>
      <w:r>
        <w:rPr>
          <w:rStyle w:val="DataTypeTok"/>
        </w:rPr>
        <w:t>TMBfilename =</w:t>
      </w:r>
      <w:r>
        <w:rPr>
          <w:rStyle w:val="NormalTok"/>
        </w:rPr>
        <w:t xml:space="preserve"> </w:t>
      </w:r>
      <w:r>
        <w:rPr>
          <w:rStyle w:val="StringTok"/>
        </w:rPr>
        <w:t>"ceattle_v01_02"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data_list =</w:t>
      </w:r>
      <w:r>
        <w:rPr>
          <w:rStyle w:val="NormalTok"/>
        </w:rPr>
        <w:t xml:space="preserve"> data_list_ms,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inits =</w:t>
      </w:r>
      <w:r>
        <w:rPr>
          <w:rStyle w:val="NormalTok"/>
        </w:rPr>
        <w:t xml:space="preserve"> ss_run</w:t>
      </w:r>
      <w:r>
        <w:rPr>
          <w:rStyle w:val="OperatorTok"/>
        </w:rPr>
        <w:t>$</w:t>
      </w:r>
      <w:r>
        <w:rPr>
          <w:rStyle w:val="NormalTok"/>
        </w:rPr>
        <w:t xml:space="preserve">estimated_params, </w:t>
      </w:r>
      <w:r>
        <w:rPr>
          <w:rStyle w:val="CommentTok"/>
        </w:rPr>
        <w:t># Initial parameters from ss run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file_name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CommentTok"/>
        </w:rPr>
        <w:t># Don't save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debug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># Estimate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random_rec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CommentTok"/>
        </w:rPr>
        <w:t># No random recruitment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niter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CommentTok"/>
        </w:rPr>
        <w:t># Number of iterations around predatio</w:t>
      </w:r>
      <w:r>
        <w:rPr>
          <w:rStyle w:val="CommentTok"/>
        </w:rPr>
        <w:t>n/pop dy functions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msmMode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># Multi-species holsman mode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avgnMode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plot_biomass</w:t>
      </w:r>
      <w:r>
        <w:rPr>
          <w:rStyle w:val="NormalTok"/>
        </w:rPr>
        <w:t>(</w:t>
      </w:r>
      <w:r>
        <w:rPr>
          <w:rStyle w:val="DataTypeTok"/>
        </w:rPr>
        <w:t>ceattle_list =</w:t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(ms_run))</w:t>
      </w:r>
      <w:r>
        <w:br/>
      </w:r>
      <w:r>
        <w:rPr>
          <w:rStyle w:val="KeywordTok"/>
        </w:rPr>
        <w:t>plot_recruitment</w:t>
      </w:r>
      <w:r>
        <w:rPr>
          <w:rStyle w:val="NormalTok"/>
        </w:rPr>
        <w:t>(</w:t>
      </w:r>
      <w:r>
        <w:rPr>
          <w:rStyle w:val="DataTypeTok"/>
        </w:rPr>
        <w:t>ceattle_list =</w:t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(ms_run))</w:t>
      </w:r>
    </w:p>
    <w:p w:rsidR="00AC7DCB" w:rsidRDefault="00163709">
      <w:pPr>
        <w:pStyle w:val="Heading1"/>
      </w:pPr>
      <w:bookmarkStart w:id="2" w:name="equations"/>
      <w:bookmarkEnd w:id="2"/>
      <w:r>
        <w:t>Equations</w:t>
      </w:r>
    </w:p>
    <w:p w:rsidR="00AC7DCB" w:rsidRDefault="00163709">
      <w:pPr>
        <w:pStyle w:val="FirstParagraph"/>
      </w:pPr>
      <w:r>
        <w:rPr>
          <w:b/>
        </w:rPr>
        <w:t>Table 1.</w:t>
      </w:r>
      <w:r>
        <w:t xml:space="preserve"> Population dynamics equations for</w:t>
      </w:r>
      <w:r>
        <w:t xml:space="preserve"> species </w:t>
      </w:r>
      <m:oMath>
        <m:r>
          <w:rPr>
            <w:rFonts w:ascii="Cambria Math" w:hAnsi="Cambria Math"/>
          </w:rPr>
          <m:t>i</m:t>
        </m:r>
      </m:oMath>
      <w:r>
        <w:t xml:space="preserve"> and age </w:t>
      </w:r>
      <m:oMath>
        <m:r>
          <w:rPr>
            <w:rFonts w:ascii="Cambria Math" w:hAnsi="Cambria Math"/>
          </w:rPr>
          <m:t>j</m:t>
        </m:r>
      </m:oMath>
      <w:r>
        <w:t xml:space="preserve"> in each simulation year </w:t>
      </w:r>
      <m:oMath>
        <m:r>
          <w:rPr>
            <w:rFonts w:ascii="Cambria Math" w:hAnsi="Cambria Math"/>
          </w:rPr>
          <m:t>y</m:t>
        </m:r>
      </m:oMath>
      <w:r>
        <w:t>. BT indicates the AFSC bottom trawl survey and EIT represents the echo-integrated acoustic- trawl survey. For all parameter definititions see Table 3.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264"/>
        <w:gridCol w:w="4750"/>
        <w:gridCol w:w="938"/>
      </w:tblGrid>
      <w:tr w:rsidR="00AC7D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Definition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Equation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Recruitment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Initial abundance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jM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jM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/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T1.2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Numbers at age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+1,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T1.3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Catch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T1.4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Total yield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T1.5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Biomass at age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T1.6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Spawning biomass at age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SS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T1.7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Total mortality at age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T1.8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Fishing mortality at age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bSup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T1.9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Weight at age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∞,</m:t>
                    </m:r>
                    <m:r>
                      <w:rPr>
                        <w:rFonts w:ascii="Cambria Math" w:hAnsi="Cambria Math"/>
                      </w:rPr>
                      <m:t>iy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T1.10a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lastRenderedPageBreak/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T1.10b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∞,</m:t>
                    </m:r>
                    <m:r>
                      <w:rPr>
                        <w:rFonts w:ascii="Cambria Math" w:hAnsi="Cambria Math"/>
                      </w:rPr>
                      <m:t>iy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T1.10c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survey biomass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T1.11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 survey biomass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eit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eit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eit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T1.12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T1.13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survey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T1.14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 survey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eit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ei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eit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eit</m:t>
                                </m:r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T1.15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selectivity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p>
                            </m:sSubSup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T1.16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selectivity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  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η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  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T1.17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Proportion females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fem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fem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male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T1.18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Proportion of mature females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T1.19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Weight at age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fem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male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T1.20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Residual natural mortality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fem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male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T1.21</w:t>
            </w:r>
          </w:p>
        </w:tc>
      </w:tr>
    </w:tbl>
    <w:p w:rsidR="00AC7DCB" w:rsidRDefault="00163709">
      <w:pPr>
        <w:pStyle w:val="BodyText"/>
      </w:pPr>
      <w:r>
        <w:rPr>
          <w:b/>
        </w:rPr>
        <w:t>Table 2.</w:t>
      </w:r>
      <w:r>
        <w:t xml:space="preserve"> </w:t>
      </w:r>
      <w:r>
        <w:t xml:space="preserve">Predation mortality equations for predators </w:t>
      </w:r>
      <m:oMath>
        <m:r>
          <w:rPr>
            <w:rFonts w:ascii="Cambria Math" w:hAnsi="Cambria Math"/>
          </w:rPr>
          <m:t>p</m:t>
        </m:r>
      </m:oMath>
      <w:r>
        <w:t xml:space="preserve"> of age </w:t>
      </w:r>
      <m:oMath>
        <m:r>
          <w:rPr>
            <w:rFonts w:ascii="Cambria Math" w:hAnsi="Cambria Math"/>
          </w:rPr>
          <m:t>a</m:t>
        </m:r>
      </m:oMath>
      <w:r>
        <w:t xml:space="preserve">, and prey </w:t>
      </w:r>
      <m:oMath>
        <m:r>
          <w:rPr>
            <w:rFonts w:ascii="Cambria Math" w:hAnsi="Cambria Math"/>
          </w:rPr>
          <m:t>i</m:t>
        </m:r>
      </m:oMath>
      <w:r>
        <w:t xml:space="preserve"> of age </w:t>
      </w:r>
      <m:oMath>
        <m:r>
          <w:rPr>
            <w:rFonts w:ascii="Cambria Math" w:hAnsi="Cambria Math"/>
          </w:rPr>
          <m:t>j</m:t>
        </m:r>
      </m:oMath>
    </w:p>
    <w:tbl>
      <w:tblPr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AC7D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Definition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Equation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Predation mortality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paij</m:t>
                                </m:r>
                              </m:sub>
                            </m:sSub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paij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ot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er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paij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d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T2.1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Predator-prey suitability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paij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bar>
                                              <m:barPr>
                                                <m:pos m:val="top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</m:ba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paij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ij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ba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paij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ot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er</m:t>
                                    </m:r>
                                  </m:sup>
                                </m:sSubSup>
                              </m:den>
                            </m:f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T2.2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Mean gravimetric diet proportion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paij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paij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T2.3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Individual specific ration (</w:t>
            </w:r>
            <m:oMath>
              <m:r>
                <w:rPr>
                  <w:rFonts w:ascii="Cambria Math" w:hAnsi="Cambria Math"/>
                </w:rPr>
                <m:t>kg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sub>
                        </m:sSub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T2.4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Temperature scaling algorithim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T2.5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T2.5a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1+40/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/400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T2.5b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T2.5c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lastRenderedPageBreak/>
              <w:t>…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co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+2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T2.5d</w:t>
            </w:r>
          </w:p>
        </w:tc>
      </w:tr>
    </w:tbl>
    <w:p w:rsidR="00AC7DCB" w:rsidRDefault="00163709">
      <w:pPr>
        <w:pStyle w:val="BodyText"/>
      </w:pPr>
      <w:r>
        <w:rPr>
          <w:b/>
        </w:rPr>
        <w:t>Table 3.</w:t>
      </w:r>
      <w:r>
        <w:t xml:space="preserve"> Parameter definitions.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AC7D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Definition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Model Object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Predator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Predator age (years)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k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Prey age (years)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prey species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nspp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predator species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prey ages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nages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predator ages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simulation years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Start year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styr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Annual relative foraging rate (</w:t>
            </w:r>
            <m:oMath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Intercept of the allometic maximum consumption function (</w:t>
            </w:r>
            <m:oMath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aLW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Allometric slope of maximum consumption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bLW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Consumption maximum physiological temperature (°C)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cm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Tcm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Consumption optimum physiological temperature (°C)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co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Tco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Max consumption parameter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Qc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Mean recruitment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Annual recruitment deviation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rec_dev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Initial abundance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Mean fishing mortality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Anuual fishing mortality deviation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age selectivity coefficient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Survey age selectivity slope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Survey age selectivity limit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VBGF allometric slope of consumption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VBGF max asymptotic weight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∞,</m:t>
                    </m:r>
                    <m:r>
                      <w:rPr>
                        <w:rFonts w:ascii="Cambria Math" w:hAnsi="Cambria Math"/>
                      </w:rPr>
                      <m:t>iy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Winf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Proportion of mature females at age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Residual natural mortality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M1_base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 xml:space="preserve">Intercept for VBGF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</w:t>
            </w:r>
            <w:r>
              <w:t>parameter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 xml:space="preserve">Annual intercept for VBGF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parameter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log_mean_d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 xml:space="preserve">Temperature covariate for VBGF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parameter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Tcoef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VBGF energy loss constant (</w:t>
            </w:r>
            <m:oMath>
              <m:r>
                <w:rPr>
                  <w:rFonts w:ascii="Cambria Math" w:hAnsi="Cambria Math"/>
                </w:rPr>
                <m:t>kg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logK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VBGF assimilation constant (</w:t>
            </w:r>
            <m:oMath>
              <m:r>
                <w:rPr>
                  <w:rFonts w:ascii="Cambria Math" w:hAnsi="Cambria Math"/>
                </w:rPr>
                <m:t>kg</m:t>
              </m:r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 </m:t>
              </m:r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>
              <w:t>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logH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 xml:space="preserve">VBGF age when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(years)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t0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 survey selectivity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eit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lastRenderedPageBreak/>
              <w:t>Female natural mortality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fem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Male natural mortality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male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Female proportion of population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Age-specific maturity proportions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pmature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total yield (</w:t>
            </w:r>
            <m:oMath>
              <m:r>
                <w:rPr>
                  <w:rFonts w:ascii="Cambria Math" w:hAnsi="Cambria Math"/>
                </w:rPr>
                <m:t>kg</m:t>
              </m:r>
            </m:oMath>
            <w:r>
              <w:t>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tc_biom_obs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fishery age comp.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fsh_age_obs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BT age comp.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srv_age_obs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EIT age comp.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eit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obs_eit_age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BT survey biomass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srv_bio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EIT survey biomass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eit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obs_eit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Bottom temperature (°C)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TempC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Gravimetric proportion of prey in predator stomach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Biomass of other prey (kg)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ot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er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other_food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rPr>
                <w:b/>
              </w:rPr>
              <w:t>Not in table 3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Annual survey biomass error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srv_Mean_CV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with total observed catch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nyrs_tc_biom_obs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with total observed catch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yrs_tc_biom_obs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fishery sp_age composition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nyrs_fsh_comp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estimation years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est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nyrs_est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End year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endyr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fishery age composition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nyrs_fsh_comp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in the fishery age composition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yrs_fsh_comp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Method of calculating fishery age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fsh_age_type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fishery age bins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bin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fsh_age_bins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with weight-at-age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nyrs_wt_at_age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with weight-at-age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yrs_wt_at_age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Weight-at-age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wt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BT survey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nyrs_srv_biom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in the BT survey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yrs_srv_biom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survey standard error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srv_biom_se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BT survey age or length composition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nyrs_srv_age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in the BT survey age composition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yrs_srv_age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Method of calculating BT survey age type (age or length)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srv_age_type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BT survey a</w:t>
            </w:r>
            <w:r>
              <w:t>ge bins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bin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srv_age_bins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Sample size for BT survey age composition multinomial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srv_age_n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survey BT size compositions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srv_age_sizes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Age transition matrix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age_trans_matrix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EIT survey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eit</m:t>
                            </m:r>
                          </m:sup>
                        </m:sSup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n_eit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in the BT survey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yrs_eit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lastRenderedPageBreak/>
              <w:t>Sample size for EIT survey age composition multinomial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eit_age_n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Number of years in the EIT selectivtiy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eit</m:t>
                            </m:r>
                          </m:sup>
                        </m:sSup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nyrs_eit_sel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Years in the BT selectivity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yrs_eit_sel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Sample size for EIT survey age composition multinomial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eit_sel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Sex specific mortality and weight-at-age: 1 for combined, 2: for seperate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mf_type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Proportion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ei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propMorF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catch-at-age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obs_catch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Estimated catch-at-age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obs_catch_hat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total catch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Estimated total catch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tc_hat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Estimated total yield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tc_obs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Observed fishery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fsh_age_obs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Estimated fishery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groupChr>
                      <m:groupChrPr>
                        <m:chr m:val="^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fsh_age_hat</w:t>
            </w:r>
          </w:p>
        </w:tc>
      </w:tr>
    </w:tbl>
    <w:p w:rsidR="00AC7DCB" w:rsidRDefault="00163709">
      <w:pPr>
        <w:pStyle w:val="BodyText"/>
      </w:pPr>
      <w:r>
        <w:rPr>
          <w:b/>
        </w:rPr>
        <w:t>Table 4.</w:t>
      </w:r>
      <w:r>
        <w:t xml:space="preserve"> Components of the likelihood function for each species </w:t>
      </w:r>
      <m:oMath>
        <m:r>
          <w:rPr>
            <w:rFonts w:ascii="Cambria Math" w:hAnsi="Cambria Math"/>
          </w:rPr>
          <m:t>i</m:t>
        </m:r>
      </m:oMath>
      <w:r>
        <w:t xml:space="preserve"> of age </w:t>
      </w:r>
      <m:oMath>
        <m:r>
          <w:rPr>
            <w:rFonts w:ascii="Cambria Math" w:hAnsi="Cambria Math"/>
          </w:rPr>
          <m:t>j</m:t>
        </m:r>
      </m:oMath>
      <w:r>
        <w:t xml:space="preserve"> in year </w:t>
      </w:r>
      <m:oMath>
        <m:r>
          <w:rPr>
            <w:rFonts w:ascii="Cambria Math" w:hAnsi="Cambria Math"/>
          </w:rPr>
          <m:t>y</m:t>
        </m:r>
      </m:oMath>
      <w:r>
        <w:t>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 w:rsidR="00AC7D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Equation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163709">
            <w:pPr>
              <w:pStyle w:val="Compact"/>
            </w:pPr>
            <w:r>
              <w:t>Data source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rPr>
                <w:b/>
              </w:rPr>
              <w:t>Data components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survey biomass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groupChr>
                                              <m:groupChrPr>
                                                <m:chr m:val="^"/>
                                                <m:pos m:val="top"/>
                                                <m:vertJc m:val="bot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groupCh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β</m:t>
                                                </m:r>
                                              </m:e>
                                            </m:groupCh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NMFS annual EBS BT survey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T4.1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BT survey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NMFS annual EBS BT survey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T4.2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 survey biomass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eit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groupChr>
                                              <m:groupChrPr>
                                                <m:chr m:val="^"/>
                                                <m:pos m:val="top"/>
                                                <m:vertJc m:val="bot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groupCh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β</m:t>
                                                </m:r>
                                              </m:e>
                                            </m:groupCh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eit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eit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, 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eit</m:t>
                    </m:r>
                  </m:sub>
                </m:sSub>
                <m:r>
                  <w:rPr>
                    <w:rFonts w:ascii="Cambria Math" w:hAnsi="Cambria Math"/>
                  </w:rPr>
                  <m:t>=0.2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Pollock acoustic trawl survey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T4.3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EIT survey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eit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eit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Pollock acoustic trawl survey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T4.4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Total catch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groupChr>
                                              <m:groupChrPr>
                                                <m:chr m:val="^"/>
                                                <m:pos m:val="top"/>
                                                <m:vertJc m:val="bot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groupCh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</m:groupCh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, 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=0.05</m:t>
                </m:r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obse</w:t>
            </w:r>
            <w:r>
              <w:t>rver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T4.5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age composition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groupChr>
                          <m:groupChrPr>
                            <m:chr m:val="^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observer data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T4.6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rPr>
                <w:b/>
              </w:rPr>
              <w:t>Penalties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Fishery selectivity</w:t>
            </w: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bSup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, </m:t>
                </m:r>
                <m:r>
                  <w:rPr>
                    <w:rFonts w:ascii="Cambria Math" w:hAnsi="Cambria Math"/>
                  </w:rPr>
                  <m:t>χ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20, </m:t>
                          </m:r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0, </m:t>
                          </m:r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T4.7</w:t>
            </w:r>
          </w:p>
        </w:tc>
      </w:tr>
      <w:tr w:rsidR="00AC7DCB">
        <w:tc>
          <w:tcPr>
            <w:tcW w:w="0" w:type="auto"/>
          </w:tcPr>
          <w:p w:rsidR="00AC7DCB" w:rsidRDefault="00163709">
            <w:pPr>
              <w:pStyle w:val="Compact"/>
            </w:pPr>
            <w:r>
              <w:rPr>
                <w:b/>
              </w:rPr>
              <w:t>Priors</w:t>
            </w: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  <w:tr w:rsidR="00AC7DCB"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T4.8</w:t>
            </w:r>
          </w:p>
        </w:tc>
      </w:tr>
      <w:tr w:rsidR="00AC7DCB"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T4.9</w:t>
            </w:r>
          </w:p>
        </w:tc>
      </w:tr>
      <w:tr w:rsidR="00AC7DCB"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w:r>
              <w:t>T4.10</w:t>
            </w:r>
          </w:p>
        </w:tc>
      </w:tr>
      <w:tr w:rsidR="00AC7DCB"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163709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=0.001</m:t>
                </m:r>
              </m:oMath>
            </m:oMathPara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  <w:tc>
          <w:tcPr>
            <w:tcW w:w="0" w:type="auto"/>
          </w:tcPr>
          <w:p w:rsidR="00AC7DCB" w:rsidRDefault="00AC7DCB">
            <w:pPr>
              <w:pStyle w:val="Compact"/>
            </w:pPr>
          </w:p>
        </w:tc>
      </w:tr>
    </w:tbl>
    <w:p w:rsidR="00AC7DCB" w:rsidRDefault="00163709">
      <w:pPr>
        <w:pStyle w:val="Heading1"/>
      </w:pPr>
      <w:bookmarkStart w:id="3" w:name="references"/>
      <w:bookmarkEnd w:id="3"/>
      <w:r>
        <w:t>References</w:t>
      </w:r>
    </w:p>
    <w:p w:rsidR="00AC7DCB" w:rsidRDefault="00163709">
      <w:pPr>
        <w:pStyle w:val="Bibliography"/>
      </w:pPr>
      <w:r>
        <w:t>Holsman, K.K., Ianelli, J., Aydin, K., Punt, A.E., Moffitt, E.A., 2015. A comparison of fisheries biological reference points estimated from temperature-specific multi-species and single-species climate-enhanced stock assessment models. Deep-Sea Research P</w:t>
      </w:r>
      <w:r>
        <w:t xml:space="preserve">art II: Topical Studies in Oceanography 134, 360–378. </w:t>
      </w:r>
      <w:hyperlink r:id="rId7">
        <w:r>
          <w:rPr>
            <w:rStyle w:val="Hyperlink"/>
          </w:rPr>
          <w:t>https://doi.org/10.1016/j.dsr2.2015.08.001</w:t>
        </w:r>
      </w:hyperlink>
    </w:p>
    <w:p w:rsidR="00AC7DCB" w:rsidRDefault="00163709">
      <w:pPr>
        <w:pStyle w:val="Bibliography"/>
      </w:pPr>
      <w:r>
        <w:t>Kristensen, K., Nielsen, A., Berg, C.W., Skaug, H., Bell, B., 2015. TMB: Automatic Differentiatio</w:t>
      </w:r>
      <w:r>
        <w:t xml:space="preserve">n and Laplace Approximation. arXiv 70, 1–21. </w:t>
      </w:r>
      <w:hyperlink r:id="rId8">
        <w:r>
          <w:rPr>
            <w:rStyle w:val="Hyperlink"/>
          </w:rPr>
          <w:t>https://doi.org/10.18637/jss.v070.i05</w:t>
        </w:r>
      </w:hyperlink>
    </w:p>
    <w:sectPr w:rsidR="00AC7D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709" w:rsidRDefault="00163709">
      <w:pPr>
        <w:spacing w:after="0"/>
      </w:pPr>
      <w:r>
        <w:separator/>
      </w:r>
    </w:p>
  </w:endnote>
  <w:endnote w:type="continuationSeparator" w:id="0">
    <w:p w:rsidR="00163709" w:rsidRDefault="001637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709" w:rsidRDefault="00163709">
      <w:r>
        <w:separator/>
      </w:r>
    </w:p>
  </w:footnote>
  <w:footnote w:type="continuationSeparator" w:id="0">
    <w:p w:rsidR="00163709" w:rsidRDefault="00163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E3D5A6"/>
    <w:multiLevelType w:val="multilevel"/>
    <w:tmpl w:val="311090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D24FD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3709"/>
    <w:rsid w:val="004E29B3"/>
    <w:rsid w:val="00590D07"/>
    <w:rsid w:val="00784D58"/>
    <w:rsid w:val="008D6863"/>
    <w:rsid w:val="00AC7DCB"/>
    <w:rsid w:val="00B86B75"/>
    <w:rsid w:val="00BC48D5"/>
    <w:rsid w:val="00C36279"/>
    <w:rsid w:val="00D5392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89EFB96-11A4-4726-B422-B06EBDCF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637/jss.v070.i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dsr2.2015.08.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2139</Words>
  <Characters>12193</Characters>
  <Application>Microsoft Office Word</Application>
  <DocSecurity>0</DocSecurity>
  <Lines>101</Lines>
  <Paragraphs>28</Paragraphs>
  <ScaleCrop>false</ScaleCrop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Grant Adams</dc:creator>
  <cp:lastModifiedBy>Grant Adams</cp:lastModifiedBy>
  <cp:revision>2</cp:revision>
  <dcterms:created xsi:type="dcterms:W3CDTF">2019-01-04T23:20:00Z</dcterms:created>
  <dcterms:modified xsi:type="dcterms:W3CDTF">2019-01-04T23:20:00Z</dcterms:modified>
</cp:coreProperties>
</file>