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CA1EF" w14:textId="7AA571D9" w:rsidR="00B3082A" w:rsidRPr="00214FE9" w:rsidRDefault="00B3082A" w:rsidP="00B3082A">
      <w:pPr>
        <w:pStyle w:val="whitespace-normal"/>
        <w:rPr>
          <w:rFonts w:asciiTheme="majorHAnsi" w:eastAsiaTheme="majorEastAsia" w:hAnsiTheme="majorHAnsi"/>
          <w:b/>
          <w:bCs/>
          <w:sz w:val="28"/>
          <w:szCs w:val="28"/>
        </w:rPr>
      </w:pPr>
      <w:r w:rsidRPr="00B3082A">
        <w:rPr>
          <w:rStyle w:val="Strong"/>
          <w:rFonts w:asciiTheme="majorHAnsi" w:eastAsiaTheme="majorEastAsia" w:hAnsiTheme="majorHAnsi"/>
          <w:sz w:val="28"/>
          <w:szCs w:val="28"/>
        </w:rPr>
        <w:t>Cover Letter — Drainage Impact Automation Modules</w:t>
      </w:r>
      <w:r w:rsidRPr="00B3082A">
        <w:rPr>
          <w:rFonts w:asciiTheme="majorHAnsi" w:hAnsiTheme="majorHAnsi"/>
          <w:sz w:val="28"/>
          <w:szCs w:val="28"/>
        </w:rPr>
        <w:br/>
        <w:t>Prepared by Dozier Tech Group, LLC</w:t>
      </w:r>
      <w:r w:rsidRPr="00B3082A">
        <w:rPr>
          <w:rFonts w:asciiTheme="majorHAnsi" w:hAnsiTheme="majorHAnsi"/>
          <w:sz w:val="28"/>
          <w:szCs w:val="28"/>
        </w:rPr>
        <w:br/>
        <w:t>Date: October 31, 2025</w:t>
      </w:r>
    </w:p>
    <w:p w14:paraId="04E60BB3" w14:textId="085B8847" w:rsidR="00B3082A" w:rsidRPr="00B3082A" w:rsidRDefault="00B3082A" w:rsidP="00B3082A">
      <w:pPr>
        <w:pStyle w:val="whitespace-normal"/>
        <w:rPr>
          <w:rFonts w:asciiTheme="majorHAnsi" w:hAnsiTheme="majorHAnsi"/>
          <w:sz w:val="28"/>
          <w:szCs w:val="28"/>
        </w:rPr>
      </w:pPr>
      <w:r w:rsidRPr="00B3082A">
        <w:rPr>
          <w:rFonts w:asciiTheme="majorHAnsi" w:hAnsiTheme="majorHAnsi"/>
          <w:sz w:val="28"/>
          <w:szCs w:val="28"/>
        </w:rPr>
        <w:t>Following our meetings and technical discovery sessions with the LCR team, this document outlines the key automation modules identified for LCR's drainage design workflow. Each module represents a distinct automation capability that can be deployed independently or as part of an integrated system.</w:t>
      </w:r>
    </w:p>
    <w:p w14:paraId="42AFB100" w14:textId="77777777" w:rsidR="00B3082A" w:rsidRPr="00B3082A" w:rsidRDefault="00B3082A" w:rsidP="00B3082A">
      <w:pPr>
        <w:pStyle w:val="whitespace-normal"/>
        <w:rPr>
          <w:rFonts w:asciiTheme="majorHAnsi" w:hAnsiTheme="majorHAnsi"/>
          <w:sz w:val="28"/>
          <w:szCs w:val="28"/>
        </w:rPr>
      </w:pPr>
      <w:r w:rsidRPr="00B3082A">
        <w:rPr>
          <w:rStyle w:val="Strong"/>
          <w:rFonts w:asciiTheme="majorHAnsi" w:eastAsiaTheme="majorEastAsia" w:hAnsiTheme="majorHAnsi"/>
          <w:sz w:val="28"/>
          <w:szCs w:val="28"/>
        </w:rPr>
        <w:t>Module Selection and Dependencies</w:t>
      </w:r>
    </w:p>
    <w:p w14:paraId="692635AC" w14:textId="77777777" w:rsidR="00B3082A" w:rsidRPr="00B3082A" w:rsidRDefault="00B3082A" w:rsidP="00B3082A">
      <w:pPr>
        <w:pStyle w:val="whitespace-normal"/>
        <w:rPr>
          <w:rFonts w:asciiTheme="majorHAnsi" w:hAnsiTheme="majorHAnsi"/>
          <w:sz w:val="28"/>
          <w:szCs w:val="28"/>
        </w:rPr>
      </w:pPr>
      <w:r w:rsidRPr="00B3082A">
        <w:rPr>
          <w:rFonts w:asciiTheme="majorHAnsi" w:hAnsiTheme="majorHAnsi"/>
          <w:sz w:val="28"/>
          <w:szCs w:val="28"/>
        </w:rPr>
        <w:t xml:space="preserve">LCR may elect to proceed with one or more modules based on immediate priorities and strategic considerations. However, </w:t>
      </w:r>
      <w:r w:rsidRPr="00B3082A">
        <w:rPr>
          <w:rStyle w:val="Strong"/>
          <w:rFonts w:asciiTheme="majorHAnsi" w:eastAsiaTheme="majorEastAsia" w:hAnsiTheme="majorHAnsi"/>
          <w:sz w:val="28"/>
          <w:szCs w:val="28"/>
        </w:rPr>
        <w:t>Module C — Drainage Impact Report Generator (DIA Engine)</w:t>
      </w:r>
      <w:r w:rsidRPr="00B3082A">
        <w:rPr>
          <w:rFonts w:asciiTheme="majorHAnsi" w:hAnsiTheme="majorHAnsi"/>
          <w:sz w:val="28"/>
          <w:szCs w:val="28"/>
        </w:rPr>
        <w:t xml:space="preserve"> has specific dependencies and requires supporting modules:</w:t>
      </w:r>
    </w:p>
    <w:p w14:paraId="79E5FE2B" w14:textId="77777777" w:rsidR="00B3082A" w:rsidRPr="00B3082A" w:rsidRDefault="00B3082A" w:rsidP="00B3082A">
      <w:pPr>
        <w:pStyle w:val="whitespace-normal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B3082A">
        <w:rPr>
          <w:rFonts w:asciiTheme="majorHAnsi" w:hAnsiTheme="majorHAnsi"/>
          <w:sz w:val="28"/>
          <w:szCs w:val="28"/>
        </w:rPr>
        <w:t xml:space="preserve">Requires area and runoff coefficient data from </w:t>
      </w:r>
      <w:r w:rsidRPr="00B3082A">
        <w:rPr>
          <w:rStyle w:val="Strong"/>
          <w:rFonts w:asciiTheme="majorHAnsi" w:eastAsiaTheme="majorEastAsia" w:hAnsiTheme="majorHAnsi"/>
          <w:sz w:val="28"/>
          <w:szCs w:val="28"/>
        </w:rPr>
        <w:t>Module A</w:t>
      </w:r>
      <w:r w:rsidRPr="00B3082A">
        <w:rPr>
          <w:rFonts w:asciiTheme="majorHAnsi" w:hAnsiTheme="majorHAnsi"/>
          <w:sz w:val="28"/>
          <w:szCs w:val="28"/>
        </w:rPr>
        <w:t xml:space="preserve"> (Automated Area Calculation)</w:t>
      </w:r>
    </w:p>
    <w:p w14:paraId="0754AD0A" w14:textId="77777777" w:rsidR="00B3082A" w:rsidRPr="00B3082A" w:rsidRDefault="00B3082A" w:rsidP="00B3082A">
      <w:pPr>
        <w:pStyle w:val="whitespace-normal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B3082A">
        <w:rPr>
          <w:rFonts w:asciiTheme="majorHAnsi" w:hAnsiTheme="majorHAnsi"/>
          <w:sz w:val="28"/>
          <w:szCs w:val="28"/>
        </w:rPr>
        <w:t xml:space="preserve">References rainfall intensities, C-values, and detention requirements from </w:t>
      </w:r>
      <w:r w:rsidRPr="00B3082A">
        <w:rPr>
          <w:rStyle w:val="Strong"/>
          <w:rFonts w:asciiTheme="majorHAnsi" w:eastAsiaTheme="majorEastAsia" w:hAnsiTheme="majorHAnsi"/>
          <w:sz w:val="28"/>
          <w:szCs w:val="28"/>
        </w:rPr>
        <w:t>Module B</w:t>
      </w:r>
      <w:r w:rsidRPr="00B3082A">
        <w:rPr>
          <w:rFonts w:asciiTheme="majorHAnsi" w:hAnsiTheme="majorHAnsi"/>
          <w:sz w:val="28"/>
          <w:szCs w:val="28"/>
        </w:rPr>
        <w:t xml:space="preserve"> (UDC &amp; DOTD Specification Extraction)</w:t>
      </w:r>
    </w:p>
    <w:p w14:paraId="567EFE05" w14:textId="77777777" w:rsidR="00B3082A" w:rsidRPr="00B3082A" w:rsidRDefault="00B3082A" w:rsidP="00B3082A">
      <w:pPr>
        <w:pStyle w:val="whitespace-normal"/>
        <w:numPr>
          <w:ilvl w:val="0"/>
          <w:numId w:val="1"/>
        </w:numPr>
        <w:rPr>
          <w:rFonts w:asciiTheme="majorHAnsi" w:hAnsiTheme="majorHAnsi"/>
          <w:sz w:val="28"/>
          <w:szCs w:val="28"/>
        </w:rPr>
      </w:pPr>
      <w:r w:rsidRPr="00B3082A">
        <w:rPr>
          <w:rFonts w:asciiTheme="majorHAnsi" w:hAnsiTheme="majorHAnsi"/>
          <w:sz w:val="28"/>
          <w:szCs w:val="28"/>
        </w:rPr>
        <w:t>Once these inputs are available, Module C automatically generates complete city-compliant DIA reports</w:t>
      </w:r>
    </w:p>
    <w:p w14:paraId="60E3F828" w14:textId="77777777" w:rsidR="00B3082A" w:rsidRPr="00B3082A" w:rsidRDefault="00B3082A" w:rsidP="00B3082A">
      <w:pPr>
        <w:pStyle w:val="whitespace-normal"/>
        <w:rPr>
          <w:rFonts w:asciiTheme="majorHAnsi" w:hAnsiTheme="majorHAnsi"/>
          <w:sz w:val="28"/>
          <w:szCs w:val="28"/>
        </w:rPr>
      </w:pPr>
      <w:r w:rsidRPr="00B3082A">
        <w:rPr>
          <w:rStyle w:val="Strong"/>
          <w:rFonts w:asciiTheme="majorHAnsi" w:eastAsiaTheme="majorEastAsia" w:hAnsiTheme="majorHAnsi"/>
          <w:sz w:val="28"/>
          <w:szCs w:val="28"/>
        </w:rPr>
        <w:t>Modules A, B, D, and E</w:t>
      </w:r>
      <w:r w:rsidRPr="00B3082A">
        <w:rPr>
          <w:rFonts w:asciiTheme="majorHAnsi" w:hAnsiTheme="majorHAnsi"/>
          <w:sz w:val="28"/>
          <w:szCs w:val="28"/>
        </w:rPr>
        <w:t xml:space="preserve"> may be developed and deployed independently or in parallel.</w:t>
      </w:r>
    </w:p>
    <w:p w14:paraId="07ACEA1E" w14:textId="3FFA2CD8" w:rsidR="00B3082A" w:rsidRPr="00B3082A" w:rsidRDefault="00B3082A" w:rsidP="00B3082A">
      <w:pPr>
        <w:pStyle w:val="whitespace-normal"/>
        <w:rPr>
          <w:rFonts w:asciiTheme="majorHAnsi" w:hAnsiTheme="majorHAnsi"/>
          <w:sz w:val="28"/>
          <w:szCs w:val="28"/>
        </w:rPr>
      </w:pPr>
      <w:r w:rsidRPr="00B3082A">
        <w:rPr>
          <w:rFonts w:asciiTheme="majorHAnsi" w:hAnsiTheme="majorHAnsi"/>
          <w:sz w:val="28"/>
          <w:szCs w:val="28"/>
        </w:rPr>
        <w:t>Collectively, these modules form an integrated pipeline that transforms LCR's current manual drainage analysis process into an automated, auditable, and repeatable workflow.</w:t>
      </w:r>
    </w:p>
    <w:p w14:paraId="30A8925E" w14:textId="27277207" w:rsidR="00B3082A" w:rsidRPr="00B3082A" w:rsidRDefault="00B3082A" w:rsidP="00B3082A">
      <w:pPr>
        <w:rPr>
          <w:sz w:val="28"/>
          <w:szCs w:val="28"/>
        </w:rPr>
      </w:pPr>
      <w:r w:rsidRPr="00B3082A">
        <w:rPr>
          <w:rFonts w:asciiTheme="majorHAnsi" w:hAnsiTheme="majorHAnsi"/>
          <w:sz w:val="28"/>
          <w:szCs w:val="28"/>
        </w:rPr>
        <w:t>Dozier Tech Group welcomes LCR's selection of preferred modules for implementation</w:t>
      </w:r>
    </w:p>
    <w:sectPr w:rsidR="00B3082A" w:rsidRPr="00B3082A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8D527" w14:textId="77777777" w:rsidR="00BF21D2" w:rsidRDefault="00BF21D2" w:rsidP="00B3082A">
      <w:pPr>
        <w:spacing w:after="0" w:line="240" w:lineRule="auto"/>
      </w:pPr>
      <w:r>
        <w:separator/>
      </w:r>
    </w:p>
  </w:endnote>
  <w:endnote w:type="continuationSeparator" w:id="0">
    <w:p w14:paraId="4CD0BDF4" w14:textId="77777777" w:rsidR="00BF21D2" w:rsidRDefault="00BF21D2" w:rsidP="00B30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E7C05" w14:textId="77777777" w:rsidR="00BF21D2" w:rsidRDefault="00BF21D2" w:rsidP="00B3082A">
      <w:pPr>
        <w:spacing w:after="0" w:line="240" w:lineRule="auto"/>
      </w:pPr>
      <w:r>
        <w:separator/>
      </w:r>
    </w:p>
  </w:footnote>
  <w:footnote w:type="continuationSeparator" w:id="0">
    <w:p w14:paraId="7535DD14" w14:textId="77777777" w:rsidR="00BF21D2" w:rsidRDefault="00BF21D2" w:rsidP="00B308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DB52" w14:textId="7F571B57" w:rsidR="00B3082A" w:rsidRDefault="00B3082A" w:rsidP="00B3082A">
    <w:pPr>
      <w:pStyle w:val="Header"/>
      <w:ind w:left="3240" w:firstLine="3960"/>
    </w:pPr>
    <w:r w:rsidRPr="00BF1CAE">
      <w:rPr>
        <w:noProof/>
      </w:rPr>
      <w:drawing>
        <wp:anchor distT="0" distB="0" distL="114300" distR="114300" simplePos="0" relativeHeight="251659264" behindDoc="0" locked="0" layoutInCell="1" allowOverlap="1" wp14:anchorId="43720110" wp14:editId="4673B2A7">
          <wp:simplePos x="0" y="0"/>
          <wp:positionH relativeFrom="rightMargin">
            <wp:align>left</wp:align>
          </wp:positionH>
          <wp:positionV relativeFrom="paragraph">
            <wp:posOffset>-23750</wp:posOffset>
          </wp:positionV>
          <wp:extent cx="338455" cy="375920"/>
          <wp:effectExtent l="0" t="0" r="4445" b="5080"/>
          <wp:wrapNone/>
          <wp:docPr id="329031977" name="Picture 1" descr="A blu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9031977" name="Picture 1" descr="A blue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38455" cy="3759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Dozier Tech Group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77852"/>
    <w:multiLevelType w:val="multilevel"/>
    <w:tmpl w:val="5354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82A"/>
    <w:rsid w:val="00214FE9"/>
    <w:rsid w:val="00B3082A"/>
    <w:rsid w:val="00BF21D2"/>
    <w:rsid w:val="00E7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FCDA98"/>
  <w15:chartTrackingRefBased/>
  <w15:docId w15:val="{D351DF39-4A7F-45C9-A652-E90E106E0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082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8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8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8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8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8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8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8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8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8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8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82A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30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3082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30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82A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308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82A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660CBF-73BE-4045-8296-AC7E83F1F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184</Words>
  <Characters>1141</Characters>
  <Application>Microsoft Office Word</Application>
  <DocSecurity>0</DocSecurity>
  <Lines>25</Lines>
  <Paragraphs>11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Dozier</dc:creator>
  <cp:keywords/>
  <dc:description/>
  <cp:lastModifiedBy>Grant Dozier</cp:lastModifiedBy>
  <cp:revision>2</cp:revision>
  <cp:lastPrinted>2025-10-31T20:38:00Z</cp:lastPrinted>
  <dcterms:created xsi:type="dcterms:W3CDTF">2025-10-31T20:35:00Z</dcterms:created>
  <dcterms:modified xsi:type="dcterms:W3CDTF">2025-10-31T20:38:00Z</dcterms:modified>
</cp:coreProperties>
</file>