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706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220"/>
              <w:left w:type="dxa" w:w="280"/>
              <w:bottom w:type="dxa" w:w="210"/>
              <w:right w:type="dxa" w:w="15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504825"/>
                  <wp:effectExtent t="0" r="0" b="0" l="0"/>
                  <wp:docPr id="1" name="DTG logo" descr="Dozier Tech Group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90"/>
              <w:left w:type="dxa" w:w="150"/>
              <w:bottom w:type="dxa" w:w="180"/>
              <w:right w:type="dxa" w:w="290"/>
            </w:tcMar>
            <w:vAlign w:val="top"/>
          </w:tcPr>
          <w:p>
            <w:pPr>
              <w:spacing w:after="2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80"/>
                <w:sz w:val="36"/>
                <w:szCs w:val="36"/>
              </w:rPr>
              <w:t xml:space="preserve">GRANT DOZIER</w:t>
            </w:r>
          </w:p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75"/>
                <w:sz w:val="16"/>
                <w:szCs w:val="16"/>
              </w:rPr>
              <w:t xml:space="preserve">SENIOR ENGINEERING MANAGER / TECHNICAL LEAD, AI</w:t>
            </w:r>
          </w:p>
        </w:tc>
      </w:tr>
    </w:tbl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0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200"/>
              <w:left w:type="dxa" w:w="220"/>
              <w:bottom w:type="dxa" w:w="180"/>
              <w:right w:type="dxa" w:w="21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552450" cy="552450"/>
                  <wp:effectExtent t="0" r="0" b="0" l="0"/>
                  <wp:docPr id="1" name="DTG mark" descr="Dozier Tech Group mark" title="DTG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LEADERSHIP EDGE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Technical strategy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Architecture leadership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Team direction + mentoring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Product and client discovery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Roadmaps + delivery risk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Executive communication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TECH STACK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Python · TypeScript · C# · SQL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.NET · FastAPI · React · Node.js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Azure · Docker · PostgreSQL · SQL Server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MCP · RAG · embeddings · vector search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CONTACT</w:t>
            </w:r>
          </w:p>
          <w:p>
            <w:pPr>
              <w:spacing w:after="80" w:line="245"/>
            </w:pPr>
            <w:hyperlink w:history="1" r:id="rIdg7yqmwkisuyxvv_pj-moo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grant@doziertechgroup.com</w:t>
              </w:r>
            </w:hyperlink>
          </w:p>
          <w:p>
            <w:pPr>
              <w:spacing w:after="80" w:line="245"/>
            </w:pPr>
            <w:hyperlink w:history="1" r:id="rIdophtxuigut2xqzinyarhr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github.com/grantdozier</w:t>
              </w:r>
            </w:hyperlink>
          </w:p>
          <w:p>
            <w:pPr>
              <w:spacing w:after="80" w:line="245"/>
            </w:pPr>
            <w:hyperlink w:history="1" r:id="rIdcg14txhxby2svfkt0cd5y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doziertechgroup.com</w:t>
              </w:r>
            </w:hyperlink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Lafayette, Louisiana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  <w:tcMar>
              <w:top w:type="dxa" w:w="150"/>
              <w:left w:type="dxa" w:w="260"/>
              <w:bottom w:type="dxa" w:w="0"/>
              <w:right w:type="dxa" w:w="0"/>
            </w:tcMar>
            <w:vAlign w:val="top"/>
          </w:tcPr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21A5B8"/>
                <w:spacing w:val="120"/>
                <w:sz w:val="15"/>
                <w:szCs w:val="15"/>
              </w:rPr>
              <w:t xml:space="preserve">POSITIONING</w:t>
            </w:r>
          </w:p>
          <w:p>
            <w:pPr>
              <w:spacing w:after="120" w:line="290"/>
            </w:pPr>
            <w:r>
              <w:rPr>
                <w:rFonts w:ascii="Aptos" w:cs="Aptos" w:eastAsia="Aptos" w:hAnsi="Aptos"/>
                <w:b/>
                <w:bCs/>
                <w:color w:val="0D1B3D"/>
                <w:sz w:val="29"/>
                <w:szCs w:val="29"/>
              </w:rPr>
              <w:t xml:space="preserve">I turn ambitious AI ideas into teams, systems, and measurable outcomes.</w:t>
            </w:r>
          </w:p>
          <w:p>
            <w:pPr>
              <w:spacing w:after="120" w:line="255"/>
            </w:pPr>
            <w:r>
              <w:rPr>
                <w:rFonts w:ascii="Aptos" w:cs="Aptos" w:eastAsia="Aptos" w:hAnsi="Aptos"/>
                <w:color w:val="586475"/>
                <w:sz w:val="19"/>
                <w:szCs w:val="19"/>
              </w:rPr>
              <w:t xml:space="preserve">Hands-on engineering leader, founder, and systems architect with 9+ years leading AI, data, cloud, and enterprise delivery from discovery through production. Combines architecture depth with product judgment, executive communication, team direction, and commercial ownership.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PROOF, NOT PROMISES</w:t>
            </w:r>
          </w:p>
          <w:tbl>
            <w:tblPr>
              <w:tblW w:type="dxa" w:w="75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00"/>
              <w:gridCol w:w="2500"/>
              <w:gridCol w:w="2500"/>
            </w:tblGrid>
            <w:tr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22.5M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POS UNITS · AI RESOLUTION</w:t>
                  </w:r>
                </w:p>
              </w:tc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933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OPPORTUNITIES · AUTONOMOUS PIPELINE</w:t>
                  </w:r>
                </w:p>
              </w:tc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95%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CYCLE-TIME REDUCTION</w:t>
                  </w:r>
                </w:p>
              </w:tc>
            </w:tr>
          </w:tbl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FLAGSHIP AI SYSTEMS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01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ATHENA + HERMES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SYSTEMS ARCHITECT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Governed intelligence for high-stakes human decisions.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Bi-temporal ontology, provenance, explainable signal paths, counter-evidence, role-calibrated surfaces, visible uncertainty, and human-final action across education and sports.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02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TabX Resolution Platform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LEAD SOFTWARE ENGINEER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Entity resolution at ~22.5M-record scale.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Deterministic resolution, embeddings, model verification, confidence thresholds, evaluation gates, and human review across .NET, React, Python, MCP, and SQL Server.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03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AI Operating Layer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PRINCIPAL ENGINEER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One governed workspace across the modern toolchain.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Typed MCP infrastructure spanning GitHub, Linear, Microsoft 365, Google Drive, Cloudflare R2, transcription, billing, and institutional memory.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04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Royal Engineering Automation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SYSTEMS ARCHITECT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Multi-week analysis compressed to minutes.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React/.NET/PDF/Excel pipeline processes up to 300 engineering model outputs per upload while improving QA/QC, accuracy, and scale.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0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200"/>
              <w:left w:type="dxa" w:w="220"/>
              <w:bottom w:type="dxa" w:w="180"/>
              <w:right w:type="dxa" w:w="210"/>
            </w:tcMar>
            <w:vAlign w:val="top"/>
          </w:tcPr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OPERATING RANGE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0→1 PRODUCT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Discovery to production, with architecture, implementation, deployment, and operations owned end to end.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ENTERPRISE SCALE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Government ERP, cloud migration, regulated workflows, and multidisciplinary stakeholder environments.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FOUNDER JUDGMENT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Commercial scoping, delivery risk, product tradeoffs, client trust, and measurable ROI—not code in isolation.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DOMAINS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Applied AI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Agent systems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Higher education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Sports intelligence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Government ERP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Construction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Civil engineering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Hospitality data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9+ YEARS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Building production software since 2017.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  <w:tcMar>
              <w:top w:type="dxa" w:w="150"/>
              <w:left w:type="dxa" w:w="260"/>
              <w:bottom w:type="dxa" w:w="0"/>
              <w:right w:type="dxa" w:w="0"/>
            </w:tcMar>
            <w:vAlign w:val="top"/>
          </w:tcPr>
          <w:p>
            <w:pPr>
              <w:spacing w:after="90" w:before="20"/>
              <w:jc w:val="right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55"/>
                <w:sz w:val="15"/>
                <w:szCs w:val="15"/>
              </w:rPr>
              <w:t xml:space="preserve">GRANT DOZIER  /  SENIOR ENGINEERING MANAGER / TECHNICAL LEAD, AI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EXPERIENCE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Dozier Tech Group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Founder &amp; Principal Engineer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2025–Present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Founded and lead a multidisciplinary delivery practice spanning engineering, project management, operations, sales, and specialist AI/infrastructure partners.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Converted ambiguous operations into funded $25K–$42K programs with measurable outcomes, phased delivery, clear ownership, and adoption plans.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TabX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Lead Software Engineer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2024–Present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Set architecture and technical direction for an AI platform resolving ~22.5M POS units across .NET, React, Python, MCP, SQL Server, embeddings, and human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Translate product constraints into sequenced cross-repository work while protecting data quality, auditability, and production readiness.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MetVero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Founder &amp; Systems Architect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2026–Present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Co-founded MetVero and defined the product/architecture direction for ATHENA and HERMES across education and sports intelligence.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Turned AI-governance principles—provenance, uncertainty, challengeability, and human-final action—into falsifiable product acceptance criteria.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CGI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Solutions Developer / Transition Co-Lead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2023–2024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Co-led government ERP transitions across custom development, environment planning, deployment, QA, performance readiness, training, documentation, and stakeholder coordination.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Perficient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Associate Technical Consultant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2020–2022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Shipped React enterprise onboarding tools; migrated and remediated .NET applications for Azure; built integration/smoke-test automation and Azure DevOps pipelines.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Meyer Technologies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Software Developer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2017–2019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Built C#, .NET, JavaScript, API, data, and automated-test solutions for healthcare, marine transportation, and mobile workflows on a three-person team.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ADDITIONAL BUSINESS IMPACT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740"/>
              <w:gridCol w:w="140"/>
              <w:gridCol w:w="3820"/>
            </w:tblGrid>
            <w:tr>
              <w:tc>
                <w:tcPr>
                  <w:tcW w:type="dxa" w:w="374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55" w:before="10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120"/>
                      <w:sz w:val="15"/>
                      <w:szCs w:val="15"/>
                    </w:rPr>
                    <w:t xml:space="preserve">CONSTRUCTION AI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7"/>
                      <w:szCs w:val="17"/>
                    </w:rPr>
                    <w:t xml:space="preserve">RAG and document intelligence connecting email, files, calendars, vendor history, SOPs, and project context.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7"/>
                      <w:szCs w:val="17"/>
                    </w:rPr>
                    <w:t xml:space="preserve">10–20 hours recovered per person per project</w:t>
                  </w:r>
                </w:p>
              </w:tc>
              <w:tc>
                <w:tcPr>
                  <w:tcW w:type="dxa" w:w="1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382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55" w:before="10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120"/>
                      <w:sz w:val="15"/>
                      <w:szCs w:val="15"/>
                    </w:rPr>
                    <w:t xml:space="preserve">CIVIL ENGINEERING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7"/>
                      <w:szCs w:val="17"/>
                    </w:rPr>
                    <w:t xml:space="preserve">Five-module drainage, plan QA, compliance, and proposal-automation program.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7"/>
                      <w:szCs w:val="17"/>
                    </w:rPr>
                    <w:t xml:space="preserve">Documented 80% time savings · $42K engagement</w:t>
                  </w:r>
                </w:p>
              </w:tc>
            </w:tr>
          </w:tbl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EDUCATION + CREDENTIALS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9"/>
                <w:szCs w:val="19"/>
              </w:rPr>
              <w:t xml:space="preserve">B.S. Computer Science</w:t>
            </w: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 — University of Louisiana at Lafayette, 2019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7"/>
                <w:szCs w:val="17"/>
              </w:rPr>
              <w:t xml:space="preserve">Microsoft Azure Fundamentals  ·  Microsoft Data Engineer Associate  ·  CompTIA A+  ·  CompTIA Network+</w:t>
            </w:r>
          </w:p>
        </w:tc>
      </w:tr>
    </w:tbl>
    <w:sectPr>
      <w:pgSz w:w="12240" w:h="15840" w:orient="portrait"/>
      <w:pgMar w:top="0" w:right="840" w:bottom="5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19"/>
        <w:szCs w:val="19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7yqmwkisuyxvv_pj-moo" Type="http://schemas.openxmlformats.org/officeDocument/2006/relationships/hyperlink" Target="mailto:grant@doziertechgroup.com" TargetMode="External"/><Relationship Id="rIdophtxuigut2xqzinyarhr" Type="http://schemas.openxmlformats.org/officeDocument/2006/relationships/hyperlink" Target="https://github.com/grantdozier" TargetMode="External"/><Relationship Id="rIdcg14txhxby2svfkt0cd5y" Type="http://schemas.openxmlformats.org/officeDocument/2006/relationships/hyperlink" Target="https://www.doziertechgroup.com" TargetMode="External"/><Relationship Id="rId7" Type="http://schemas.openxmlformats.org/officeDocument/2006/relationships/image" Target="media/5a7ed14fe602cb47c2fb080e55e99ba95fc92ee8.png"/><Relationship Id="rId8" Type="http://schemas.openxmlformats.org/officeDocument/2006/relationships/image" Target="media/056f7a767a39a81cd75ce424c9e85afd8e0c82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2026-07-15T01:41:56.536Z</dcterms:created>
  <dcterms:modified xsi:type="dcterms:W3CDTF">2026-07-15T01:41:56.536Z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