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
        <w:jc w:val="center"/>
      </w:pPr>
      <w:r>
        <w:rPr>
          <w:rFonts w:ascii="Aptos" w:cs="Aptos" w:eastAsia="Aptos" w:hAnsi="Aptos"/>
          <w:b/>
          <w:bCs/>
          <w:color w:val="17243A"/>
          <w:spacing w:val="80"/>
          <w:sz w:val="34"/>
          <w:szCs w:val="34"/>
        </w:rPr>
        <w:t xml:space="preserve">GRANT DOZIER</w:t>
      </w:r>
    </w:p>
    <w:p>
      <w:pPr>
        <w:spacing w:after="35"/>
        <w:jc w:val="center"/>
      </w:pPr>
      <w:r>
        <w:rPr>
          <w:rFonts w:ascii="Aptos" w:cs="Aptos" w:eastAsia="Aptos" w:hAnsi="Aptos"/>
          <w:b/>
          <w:bCs/>
          <w:color w:val="087F8C"/>
          <w:spacing w:val="45"/>
          <w:sz w:val="20"/>
          <w:szCs w:val="20"/>
        </w:rPr>
        <w:t xml:space="preserve">SENIOR ENGINEERING MANAGER / TECHNICAL LEAD, AI</w:t>
      </w:r>
    </w:p>
    <w:p>
      <w:pPr>
        <w:spacing w:after="65"/>
        <w:jc w:val="center"/>
      </w:pPr>
      <w:r>
        <w:rPr>
          <w:rFonts w:ascii="Aptos" w:cs="Aptos" w:eastAsia="Aptos" w:hAnsi="Aptos"/>
          <w:color w:val="17243A"/>
          <w:sz w:val="18"/>
          <w:szCs w:val="18"/>
        </w:rPr>
        <w:t xml:space="preserve">Lafayette, LA  ·  (337) 412-4767  ·  </w:t>
      </w:r>
      <w:hyperlink w:history="1" r:id="rIdo4_qtjvdsbavzpmmnqfg8">
        <w:r>
          <w:rPr>
            <w:rFonts w:ascii="Aptos" w:cs="Aptos" w:eastAsia="Aptos" w:hAnsi="Aptos"/>
            <w:color w:val="0B5C8E"/>
            <w:sz w:val="18"/>
            <w:szCs w:val="18"/>
            <w:u w:val="single"/>
          </w:rPr>
          <w:t xml:space="preserve">grant@doziertechgroup.com</w:t>
        </w:r>
      </w:hyperlink>
      <w:r>
        <w:rPr>
          <w:rFonts w:ascii="Aptos" w:cs="Aptos" w:eastAsia="Aptos" w:hAnsi="Aptos"/>
          <w:color w:val="17243A"/>
          <w:sz w:val="18"/>
          <w:szCs w:val="18"/>
        </w:rPr>
        <w:t xml:space="preserve">  ·  </w:t>
      </w:r>
      <w:hyperlink w:history="1" r:id="rIdrizz4auvo0-pqjw6pemm0">
        <w:r>
          <w:rPr>
            <w:rFonts w:ascii="Aptos" w:cs="Aptos" w:eastAsia="Aptos" w:hAnsi="Aptos"/>
            <w:color w:val="0B5C8E"/>
            <w:sz w:val="18"/>
            <w:szCs w:val="18"/>
            <w:u w:val="single"/>
          </w:rPr>
          <w:t xml:space="preserve">GitHub</w:t>
        </w:r>
      </w:hyperlink>
      <w:r>
        <w:rPr>
          <w:rFonts w:ascii="Aptos" w:cs="Aptos" w:eastAsia="Aptos" w:hAnsi="Aptos"/>
          <w:color w:val="17243A"/>
          <w:sz w:val="18"/>
          <w:szCs w:val="18"/>
        </w:rPr>
        <w:t xml:space="preserve">  ·  </w:t>
      </w:r>
      <w:hyperlink w:history="1" r:id="rIdp8zch4x5otaiuixyi8i7a">
        <w:r>
          <w:rPr>
            <w:rFonts w:ascii="Aptos" w:cs="Aptos" w:eastAsia="Aptos" w:hAnsi="Aptos"/>
            <w:color w:val="0B5C8E"/>
            <w:sz w:val="18"/>
            <w:szCs w:val="18"/>
            <w:u w:val="single"/>
          </w:rPr>
          <w:t xml:space="preserve">Portfolio</w:t>
        </w:r>
      </w:hyperlink>
    </w:p>
    <w:p>
      <w:pPr>
        <w:pStyle w:val="Heading1"/>
        <w:pBdr>
          <w:bottom w:val="single" w:color="DCE6EC" w:sz="5"/>
        </w:pBdr>
        <w:spacing w:after="55" w:before="110"/>
      </w:pPr>
      <w:r>
        <w:rPr>
          <w:rFonts w:ascii="Aptos" w:cs="Aptos" w:eastAsia="Aptos" w:hAnsi="Aptos"/>
          <w:b/>
          <w:bCs/>
          <w:color w:val="087F8C"/>
          <w:spacing w:val="55"/>
          <w:sz w:val="19"/>
          <w:szCs w:val="19"/>
        </w:rPr>
        <w:t xml:space="preserve">PROFILE</w:t>
      </w:r>
    </w:p>
    <w:p>
      <w:pPr>
        <w:spacing w:after="55" w:line="225"/>
      </w:pPr>
      <w:r>
        <w:rPr>
          <w:rFonts w:ascii="Aptos" w:cs="Aptos" w:eastAsia="Aptos" w:hAnsi="Aptos"/>
          <w:color w:val="17243A"/>
          <w:sz w:val="18"/>
          <w:szCs w:val="18"/>
        </w:rPr>
        <w:t xml:space="preserve">Hands-on engineering leader, founder, and systems architect with 9+ years delivering AI, data, cloud, and enterprise platforms from discovery through production. Leads technical strategy, architecture, client alignment, roadmaps, and multidisciplinary delivery while remaining close to code. Built and coordinated teams across backend, frontend, AI, product, and domain experts; delivered systems with documented 80–95% cycle-time reductions and multi-week workflows compressed to minutes.</w:t>
      </w:r>
    </w:p>
    <w:p>
      <w:pPr>
        <w:spacing w:after="55" w:line="225"/>
      </w:pPr>
      <w:r>
        <w:rPr>
          <w:rFonts w:ascii="Aptos" w:cs="Aptos" w:eastAsia="Aptos" w:hAnsi="Aptos"/>
          <w:b/>
          <w:bCs/>
          <w:color w:val="0B5C8E"/>
          <w:sz w:val="18"/>
          <w:szCs w:val="18"/>
        </w:rPr>
        <w:t xml:space="preserve">CORE: </w:t>
      </w:r>
      <w:r>
        <w:rPr>
          <w:rFonts w:ascii="Aptos" w:cs="Aptos" w:eastAsia="Aptos" w:hAnsi="Aptos"/>
          <w:color w:val="17243A"/>
          <w:sz w:val="18"/>
          <w:szCs w:val="18"/>
        </w:rPr>
        <w:t xml:space="preserve">Technical strategy · Architecture leadership · Team direction · Product &amp; client discovery · Roadmaps · AI governance · Delivery operations · Executive communication</w:t>
      </w:r>
    </w:p>
    <w:p>
      <w:pPr>
        <w:pStyle w:val="Heading1"/>
        <w:pBdr>
          <w:bottom w:val="single" w:color="DCE6EC" w:sz="5"/>
        </w:pBdr>
        <w:spacing w:after="55" w:before="110"/>
      </w:pPr>
      <w:r>
        <w:rPr>
          <w:rFonts w:ascii="Aptos" w:cs="Aptos" w:eastAsia="Aptos" w:hAnsi="Aptos"/>
          <w:b/>
          <w:bCs/>
          <w:color w:val="087F8C"/>
          <w:spacing w:val="55"/>
          <w:sz w:val="19"/>
          <w:szCs w:val="19"/>
        </w:rPr>
        <w:t xml:space="preserve">SELECTED AI &amp; PLATFORM IMPACT</w:t>
      </w:r>
    </w:p>
    <w:p>
      <w:pPr>
        <w:spacing w:after="55" w:line="225"/>
      </w:pPr>
      <w:r>
        <w:rPr>
          <w:rFonts w:ascii="Aptos" w:cs="Aptos" w:eastAsia="Aptos" w:hAnsi="Aptos"/>
          <w:b/>
          <w:bCs/>
          <w:color w:val="17243A"/>
          <w:sz w:val="18"/>
          <w:szCs w:val="18"/>
        </w:rPr>
        <w:t xml:space="preserve">AI Operating Layer</w:t>
      </w:r>
      <w:r>
        <w:rPr>
          <w:rFonts w:ascii="Aptos" w:cs="Aptos" w:eastAsia="Aptos" w:hAnsi="Aptos"/>
          <w:b/>
          <w:bCs/>
          <w:color w:val="0B5C8E"/>
          <w:sz w:val="18"/>
          <w:szCs w:val="18"/>
        </w:rPr>
        <w:t xml:space="preserve"> — Founder / Principal Engineer. </w:t>
      </w:r>
      <w:r>
        <w:rPr>
          <w:rFonts w:ascii="Aptos" w:cs="Aptos" w:eastAsia="Aptos" w:hAnsi="Aptos"/>
          <w:color w:val="17243A"/>
          <w:sz w:val="18"/>
          <w:szCs w:val="18"/>
        </w:rPr>
        <w:t xml:space="preserve">Typed MCP ecosystem connecting agent workflows to engineering, communications, files, structured knowledge, transcription, and business operations; 92-commit repository with 161 tracked files.</w:t>
      </w:r>
    </w:p>
    <w:p>
      <w:pPr>
        <w:spacing w:after="55" w:line="225"/>
      </w:pPr>
      <w:r>
        <w:rPr>
          <w:rFonts w:ascii="Aptos" w:cs="Aptos" w:eastAsia="Aptos" w:hAnsi="Aptos"/>
          <w:b/>
          <w:bCs/>
          <w:color w:val="17243A"/>
          <w:sz w:val="18"/>
          <w:szCs w:val="18"/>
        </w:rPr>
        <w:t xml:space="preserve">ATHENA + HERMES</w:t>
      </w:r>
      <w:r>
        <w:rPr>
          <w:rFonts w:ascii="Aptos" w:cs="Aptos" w:eastAsia="Aptos" w:hAnsi="Aptos"/>
          <w:b/>
          <w:bCs/>
          <w:color w:val="0B5C8E"/>
          <w:sz w:val="18"/>
          <w:szCs w:val="18"/>
        </w:rPr>
        <w:t xml:space="preserve"> — Founder / Systems Architect. </w:t>
      </w:r>
      <w:r>
        <w:rPr>
          <w:rFonts w:ascii="Aptos" w:cs="Aptos" w:eastAsia="Aptos" w:hAnsi="Aptos"/>
          <w:color w:val="17243A"/>
          <w:sz w:val="18"/>
          <w:szCs w:val="18"/>
        </w:rPr>
        <w:t xml:space="preserve">Governed institutional-intelligence products built around provenance, bi-temporal rules, explainable signal paths, cross-domain ontologies, and human-final decisions.</w:t>
      </w:r>
    </w:p>
    <w:p>
      <w:pPr>
        <w:spacing w:after="55" w:line="225"/>
      </w:pPr>
      <w:r>
        <w:rPr>
          <w:rFonts w:ascii="Aptos" w:cs="Aptos" w:eastAsia="Aptos" w:hAnsi="Aptos"/>
          <w:b/>
          <w:bCs/>
          <w:color w:val="17243A"/>
          <w:sz w:val="18"/>
          <w:szCs w:val="18"/>
        </w:rPr>
        <w:t xml:space="preserve">TabX Resolution Platform</w:t>
      </w:r>
      <w:r>
        <w:rPr>
          <w:rFonts w:ascii="Aptos" w:cs="Aptos" w:eastAsia="Aptos" w:hAnsi="Aptos"/>
          <w:b/>
          <w:bCs/>
          <w:color w:val="0B5C8E"/>
          <w:sz w:val="18"/>
          <w:szCs w:val="18"/>
        </w:rPr>
        <w:t xml:space="preserve"> — Lead Software Engineer. </w:t>
      </w:r>
      <w:r>
        <w:rPr>
          <w:rFonts w:ascii="Aptos" w:cs="Aptos" w:eastAsia="Aptos" w:hAnsi="Aptos"/>
          <w:color w:val="17243A"/>
          <w:sz w:val="18"/>
          <w:szCs w:val="18"/>
        </w:rPr>
        <w:t xml:space="preserve">AI-assisted entity resolution and analytics across ~22.5M POS units using deterministic matching, embeddings, model verification, confidence gates, and human review.</w:t>
      </w:r>
    </w:p>
    <w:p>
      <w:pPr>
        <w:spacing w:after="55" w:line="225"/>
      </w:pPr>
      <w:r>
        <w:rPr>
          <w:rFonts w:ascii="Aptos" w:cs="Aptos" w:eastAsia="Aptos" w:hAnsi="Aptos"/>
          <w:b/>
          <w:bCs/>
          <w:color w:val="17243A"/>
          <w:sz w:val="18"/>
          <w:szCs w:val="18"/>
        </w:rPr>
        <w:t xml:space="preserve">Royal Engineering Automation</w:t>
      </w:r>
      <w:r>
        <w:rPr>
          <w:rFonts w:ascii="Aptos" w:cs="Aptos" w:eastAsia="Aptos" w:hAnsi="Aptos"/>
          <w:b/>
          <w:bCs/>
          <w:color w:val="0B5C8E"/>
          <w:sz w:val="18"/>
          <w:szCs w:val="18"/>
        </w:rPr>
        <w:t xml:space="preserve"> — Founder / Systems Architect. </w:t>
      </w:r>
      <w:r>
        <w:rPr>
          <w:rFonts w:ascii="Aptos" w:cs="Aptos" w:eastAsia="Aptos" w:hAnsi="Aptos"/>
          <w:color w:val="17243A"/>
          <w:sz w:val="18"/>
          <w:szCs w:val="18"/>
        </w:rPr>
        <w:t xml:space="preserve">React/.NET/PDF/Excel pipeline processing up to 300 model outputs per upload; reduced multi-week settlement analysis to minutes and documented 95% cycle-time reduction.</w:t>
      </w:r>
    </w:p>
    <w:p>
      <w:r>
        <w:br w:type="page"/>
      </w:r>
    </w:p>
    <w:p>
      <w:pPr>
        <w:pStyle w:val="Heading1"/>
        <w:pBdr>
          <w:bottom w:val="single" w:color="DCE6EC" w:sz="5"/>
        </w:pBdr>
        <w:spacing w:after="55" w:before="110"/>
      </w:pPr>
      <w:r>
        <w:rPr>
          <w:rFonts w:ascii="Aptos" w:cs="Aptos" w:eastAsia="Aptos" w:hAnsi="Aptos"/>
          <w:b/>
          <w:bCs/>
          <w:color w:val="087F8C"/>
          <w:spacing w:val="55"/>
          <w:sz w:val="19"/>
          <w:szCs w:val="19"/>
        </w:rPr>
        <w:t xml:space="preserve">EXPERIENCE</w:t>
      </w:r>
    </w:p>
    <w:p>
      <w:pPr>
        <w:keepNext/>
        <w:tabs>
          <w:tab w:val="right" w:pos="9026"/>
        </w:tabs>
        <w:spacing w:after="20" w:before="70"/>
      </w:pPr>
      <w:r>
        <w:rPr>
          <w:rFonts w:ascii="Aptos" w:cs="Aptos" w:eastAsia="Aptos" w:hAnsi="Aptos"/>
          <w:b/>
          <w:bCs/>
          <w:color w:val="17243A"/>
          <w:sz w:val="19"/>
          <w:szCs w:val="19"/>
        </w:rPr>
        <w:t xml:space="preserve">Dozier Tech Group</w:t>
      </w:r>
      <w:r>
        <w:rPr>
          <w:rFonts w:ascii="Aptos" w:cs="Aptos" w:eastAsia="Aptos" w:hAnsi="Aptos"/>
          <w:b/>
          <w:bCs/>
          <w:color w:val="0B5C8E"/>
          <w:sz w:val="18"/>
          <w:szCs w:val="18"/>
        </w:rPr>
        <w:t xml:space="preserve">  |  Founder &amp; Principal Engineer</w:t>
      </w:r>
      <w:r>
        <w:rPr>
          <w:rFonts w:ascii="Aptos" w:cs="Aptos" w:eastAsia="Aptos" w:hAnsi="Aptos"/>
          <w:color w:val="536273"/>
          <w:sz w:val="17"/>
          <w:szCs w:val="17"/>
        </w:rPr>
        <w:t xml:space="preserve">	2025–Present</w:t>
      </w:r>
    </w:p>
    <w:p>
      <w:pPr>
        <w:pStyle w:val="ListParagraph"/>
        <w:numPr>
          <w:ilvl w:val="0"/>
          <w:numId w:val="2"/>
        </w:numPr>
        <w:spacing w:after="35" w:line="220"/>
      </w:pPr>
      <w:r>
        <w:rPr>
          <w:rFonts w:ascii="Aptos" w:cs="Aptos" w:eastAsia="Aptos" w:hAnsi="Aptos"/>
          <w:color w:val="17243A"/>
          <w:sz w:val="18"/>
          <w:szCs w:val="18"/>
        </w:rPr>
        <w:t xml:space="preserve">Founded and lead a senior delivery practice spanning software engineers, project management, operations, sales, and specialist AI/infrastructure partners; own scoping, architecture, prioritization, delivery risk, and customer outcomes.</w:t>
      </w:r>
    </w:p>
    <w:p>
      <w:pPr>
        <w:pStyle w:val="ListParagraph"/>
        <w:numPr>
          <w:ilvl w:val="0"/>
          <w:numId w:val="2"/>
        </w:numPr>
        <w:spacing w:after="35" w:line="220"/>
      </w:pPr>
      <w:r>
        <w:rPr>
          <w:rFonts w:ascii="Aptos" w:cs="Aptos" w:eastAsia="Aptos" w:hAnsi="Aptos"/>
          <w:color w:val="17243A"/>
          <w:sz w:val="18"/>
          <w:szCs w:val="18"/>
        </w:rPr>
        <w:t xml:space="preserve">Converted ambiguous workflows into funded, phased programs, including $25K–$42K engineering automation engagements and a $30K AI operations pilot; established measurable outcomes, ownership boundaries, and adoption plans.</w:t>
      </w:r>
    </w:p>
    <w:p>
      <w:pPr>
        <w:pStyle w:val="ListParagraph"/>
        <w:numPr>
          <w:ilvl w:val="0"/>
          <w:numId w:val="2"/>
        </w:numPr>
        <w:spacing w:after="35" w:line="220"/>
      </w:pPr>
      <w:r>
        <w:rPr>
          <w:rFonts w:ascii="Aptos" w:cs="Aptos" w:eastAsia="Aptos" w:hAnsi="Aptos"/>
          <w:color w:val="17243A"/>
          <w:sz w:val="18"/>
          <w:szCs w:val="18"/>
        </w:rPr>
        <w:t xml:space="preserve">Built the company’s internal operating platform and autonomous opportunity engine to unify delivery, knowledge, GitHub, Microsoft 365, billing, funding discovery, and proposal workflows.</w:t>
      </w:r>
    </w:p>
    <w:p>
      <w:pPr>
        <w:keepNext/>
        <w:tabs>
          <w:tab w:val="right" w:pos="9026"/>
        </w:tabs>
        <w:spacing w:after="20" w:before="70"/>
      </w:pPr>
      <w:r>
        <w:rPr>
          <w:rFonts w:ascii="Aptos" w:cs="Aptos" w:eastAsia="Aptos" w:hAnsi="Aptos"/>
          <w:b/>
          <w:bCs/>
          <w:color w:val="17243A"/>
          <w:sz w:val="19"/>
          <w:szCs w:val="19"/>
        </w:rPr>
        <w:t xml:space="preserve">TabX</w:t>
      </w:r>
      <w:r>
        <w:rPr>
          <w:rFonts w:ascii="Aptos" w:cs="Aptos" w:eastAsia="Aptos" w:hAnsi="Aptos"/>
          <w:b/>
          <w:bCs/>
          <w:color w:val="0B5C8E"/>
          <w:sz w:val="18"/>
          <w:szCs w:val="18"/>
        </w:rPr>
        <w:t xml:space="preserve">  |  Lead Software Engineer</w:t>
      </w:r>
      <w:r>
        <w:rPr>
          <w:rFonts w:ascii="Aptos" w:cs="Aptos" w:eastAsia="Aptos" w:hAnsi="Aptos"/>
          <w:color w:val="536273"/>
          <w:sz w:val="17"/>
          <w:szCs w:val="17"/>
        </w:rPr>
        <w:t xml:space="preserve">	2024–Present</w:t>
      </w:r>
    </w:p>
    <w:p>
      <w:pPr>
        <w:pStyle w:val="ListParagraph"/>
        <w:numPr>
          <w:ilvl w:val="0"/>
          <w:numId w:val="2"/>
        </w:numPr>
        <w:spacing w:after="35" w:line="220"/>
      </w:pPr>
      <w:r>
        <w:rPr>
          <w:rFonts w:ascii="Aptos" w:cs="Aptos" w:eastAsia="Aptos" w:hAnsi="Aptos"/>
          <w:color w:val="17243A"/>
          <w:sz w:val="18"/>
          <w:szCs w:val="18"/>
        </w:rPr>
        <w:t xml:space="preserve">Serve as technical owner for an AI-assisted data platform resolving approximately 22.5M POS units; set architecture across .NET, React, Python, MCP, SQL Server, embeddings, evaluation gates, and human review.</w:t>
      </w:r>
    </w:p>
    <w:p>
      <w:pPr>
        <w:pStyle w:val="ListParagraph"/>
        <w:numPr>
          <w:ilvl w:val="0"/>
          <w:numId w:val="2"/>
        </w:numPr>
        <w:spacing w:after="35" w:line="220"/>
      </w:pPr>
      <w:r>
        <w:rPr>
          <w:rFonts w:ascii="Aptos" w:cs="Aptos" w:eastAsia="Aptos" w:hAnsi="Aptos"/>
          <w:color w:val="17243A"/>
          <w:sz w:val="18"/>
          <w:szCs w:val="18"/>
        </w:rPr>
        <w:t xml:space="preserve">Translate product and operations constraints into sequenced platform work, coordinating implementation across repositories while protecting data quality, auditability, and production readiness.</w:t>
      </w:r>
    </w:p>
    <w:p>
      <w:pPr>
        <w:keepNext/>
        <w:tabs>
          <w:tab w:val="right" w:pos="9026"/>
        </w:tabs>
        <w:spacing w:after="20" w:before="70"/>
      </w:pPr>
      <w:r>
        <w:rPr>
          <w:rFonts w:ascii="Aptos" w:cs="Aptos" w:eastAsia="Aptos" w:hAnsi="Aptos"/>
          <w:b/>
          <w:bCs/>
          <w:color w:val="17243A"/>
          <w:sz w:val="19"/>
          <w:szCs w:val="19"/>
        </w:rPr>
        <w:t xml:space="preserve">MetVero</w:t>
      </w:r>
      <w:r>
        <w:rPr>
          <w:rFonts w:ascii="Aptos" w:cs="Aptos" w:eastAsia="Aptos" w:hAnsi="Aptos"/>
          <w:b/>
          <w:bCs/>
          <w:color w:val="0B5C8E"/>
          <w:sz w:val="18"/>
          <w:szCs w:val="18"/>
        </w:rPr>
        <w:t xml:space="preserve">  |  Founder &amp; Systems Architect</w:t>
      </w:r>
      <w:r>
        <w:rPr>
          <w:rFonts w:ascii="Aptos" w:cs="Aptos" w:eastAsia="Aptos" w:hAnsi="Aptos"/>
          <w:color w:val="536273"/>
          <w:sz w:val="17"/>
          <w:szCs w:val="17"/>
        </w:rPr>
        <w:t xml:space="preserve">	2026–Present</w:t>
      </w:r>
    </w:p>
    <w:p>
      <w:pPr>
        <w:pStyle w:val="ListParagraph"/>
        <w:numPr>
          <w:ilvl w:val="0"/>
          <w:numId w:val="2"/>
        </w:numPr>
        <w:spacing w:after="35" w:line="220"/>
      </w:pPr>
      <w:r>
        <w:rPr>
          <w:rFonts w:ascii="Aptos" w:cs="Aptos" w:eastAsia="Aptos" w:hAnsi="Aptos"/>
          <w:color w:val="17243A"/>
          <w:sz w:val="18"/>
          <w:szCs w:val="18"/>
        </w:rPr>
        <w:t xml:space="preserve">Co-founded MetVero and set the product/architecture direction for ATHENA and HERMES—one institutional-intelligence core serving higher education and professional/collegiate sports.</w:t>
      </w:r>
    </w:p>
    <w:p>
      <w:pPr>
        <w:pStyle w:val="ListParagraph"/>
        <w:numPr>
          <w:ilvl w:val="0"/>
          <w:numId w:val="2"/>
        </w:numPr>
        <w:spacing w:after="35" w:line="220"/>
      </w:pPr>
      <w:r>
        <w:rPr>
          <w:rFonts w:ascii="Aptos" w:cs="Aptos" w:eastAsia="Aptos" w:hAnsi="Aptos"/>
          <w:color w:val="17243A"/>
          <w:sz w:val="18"/>
          <w:szCs w:val="18"/>
        </w:rPr>
        <w:t xml:space="preserve">Created the AI governance model around sourced decision surfaces, bi-temporal rules, visible uncertainty, challengeability, and human-final action; turned principles into falsifiable product acceptance criteria.</w:t>
      </w:r>
    </w:p>
    <w:p>
      <w:pPr>
        <w:pStyle w:val="ListParagraph"/>
        <w:numPr>
          <w:ilvl w:val="0"/>
          <w:numId w:val="2"/>
        </w:numPr>
        <w:spacing w:after="35" w:line="220"/>
      </w:pPr>
      <w:r>
        <w:rPr>
          <w:rFonts w:ascii="Aptos" w:cs="Aptos" w:eastAsia="Aptos" w:hAnsi="Aptos"/>
          <w:color w:val="17243A"/>
          <w:sz w:val="18"/>
          <w:szCs w:val="18"/>
        </w:rPr>
        <w:t xml:space="preserve">Led synthesis across product, institutional policy, data architecture, stakeholder needs, and commercial positioning to communicate a technically credible platform vision to executive audiences.</w:t>
      </w:r>
    </w:p>
    <w:p>
      <w:pPr>
        <w:keepNext/>
        <w:tabs>
          <w:tab w:val="right" w:pos="9026"/>
        </w:tabs>
        <w:spacing w:after="20" w:before="70"/>
      </w:pPr>
      <w:r>
        <w:rPr>
          <w:rFonts w:ascii="Aptos" w:cs="Aptos" w:eastAsia="Aptos" w:hAnsi="Aptos"/>
          <w:b/>
          <w:bCs/>
          <w:color w:val="17243A"/>
          <w:sz w:val="19"/>
          <w:szCs w:val="19"/>
        </w:rPr>
        <w:t xml:space="preserve">CGI</w:t>
      </w:r>
      <w:r>
        <w:rPr>
          <w:rFonts w:ascii="Aptos" w:cs="Aptos" w:eastAsia="Aptos" w:hAnsi="Aptos"/>
          <w:b/>
          <w:bCs/>
          <w:color w:val="0B5C8E"/>
          <w:sz w:val="18"/>
          <w:szCs w:val="18"/>
        </w:rPr>
        <w:t xml:space="preserve">  |  Solutions Developer / Transition Co-Lead</w:t>
      </w:r>
      <w:r>
        <w:rPr>
          <w:rFonts w:ascii="Aptos" w:cs="Aptos" w:eastAsia="Aptos" w:hAnsi="Aptos"/>
          <w:color w:val="536273"/>
          <w:sz w:val="17"/>
          <w:szCs w:val="17"/>
        </w:rPr>
        <w:t xml:space="preserve">	2023–2024</w:t>
      </w:r>
    </w:p>
    <w:p>
      <w:pPr>
        <w:pStyle w:val="ListParagraph"/>
        <w:numPr>
          <w:ilvl w:val="0"/>
          <w:numId w:val="2"/>
        </w:numPr>
        <w:spacing w:after="35" w:line="220"/>
      </w:pPr>
      <w:r>
        <w:rPr>
          <w:rFonts w:ascii="Aptos" w:cs="Aptos" w:eastAsia="Aptos" w:hAnsi="Aptos"/>
          <w:color w:val="17243A"/>
          <w:sz w:val="18"/>
          <w:szCs w:val="18"/>
        </w:rPr>
        <w:t xml:space="preserve">Co-led transition of government clients onto CGI Advantage ERP, owning custom solution development, environment planning, deployment, QA, performance readiness, documentation, training, and stakeholder coordination.</w:t>
      </w:r>
    </w:p>
    <w:p>
      <w:pPr>
        <w:pStyle w:val="ListParagraph"/>
        <w:numPr>
          <w:ilvl w:val="0"/>
          <w:numId w:val="2"/>
        </w:numPr>
        <w:spacing w:after="35" w:line="220"/>
      </w:pPr>
      <w:r>
        <w:rPr>
          <w:rFonts w:ascii="Aptos" w:cs="Aptos" w:eastAsia="Aptos" w:hAnsi="Aptos"/>
          <w:color w:val="17243A"/>
          <w:sz w:val="18"/>
          <w:szCs w:val="18"/>
        </w:rPr>
        <w:t xml:space="preserve">Turned client-specific operational and regulatory requirements into production configurations and repeatable transition practices for large state and local government environments.</w:t>
      </w:r>
    </w:p>
    <w:p>
      <w:pPr>
        <w:keepNext/>
        <w:tabs>
          <w:tab w:val="right" w:pos="9026"/>
        </w:tabs>
        <w:spacing w:after="20" w:before="70"/>
      </w:pPr>
      <w:r>
        <w:rPr>
          <w:rFonts w:ascii="Aptos" w:cs="Aptos" w:eastAsia="Aptos" w:hAnsi="Aptos"/>
          <w:b/>
          <w:bCs/>
          <w:color w:val="17243A"/>
          <w:sz w:val="19"/>
          <w:szCs w:val="19"/>
        </w:rPr>
        <w:t xml:space="preserve">Perficient</w:t>
      </w:r>
      <w:r>
        <w:rPr>
          <w:rFonts w:ascii="Aptos" w:cs="Aptos" w:eastAsia="Aptos" w:hAnsi="Aptos"/>
          <w:b/>
          <w:bCs/>
          <w:color w:val="0B5C8E"/>
          <w:sz w:val="18"/>
          <w:szCs w:val="18"/>
        </w:rPr>
        <w:t xml:space="preserve">  |  Associate Technical Consultant</w:t>
      </w:r>
      <w:r>
        <w:rPr>
          <w:rFonts w:ascii="Aptos" w:cs="Aptos" w:eastAsia="Aptos" w:hAnsi="Aptos"/>
          <w:color w:val="536273"/>
          <w:sz w:val="17"/>
          <w:szCs w:val="17"/>
        </w:rPr>
        <w:t xml:space="preserve">	2020–2022</w:t>
      </w:r>
    </w:p>
    <w:p>
      <w:pPr>
        <w:pStyle w:val="ListParagraph"/>
        <w:numPr>
          <w:ilvl w:val="0"/>
          <w:numId w:val="2"/>
        </w:numPr>
        <w:spacing w:after="35" w:line="220"/>
      </w:pPr>
      <w:r>
        <w:rPr>
          <w:rFonts w:ascii="Aptos" w:cs="Aptos" w:eastAsia="Aptos" w:hAnsi="Aptos"/>
          <w:color w:val="17243A"/>
          <w:sz w:val="18"/>
          <w:szCs w:val="18"/>
        </w:rPr>
        <w:t xml:space="preserve">Shipped React tooling for a global software company’s enterprise onboarding organization and delivered real-time technical solutions with customer engineering teams.</w:t>
      </w:r>
    </w:p>
    <w:p>
      <w:pPr>
        <w:pStyle w:val="ListParagraph"/>
        <w:numPr>
          <w:ilvl w:val="0"/>
          <w:numId w:val="2"/>
        </w:numPr>
        <w:spacing w:after="35" w:line="220"/>
      </w:pPr>
      <w:r>
        <w:rPr>
          <w:rFonts w:ascii="Aptos" w:cs="Aptos" w:eastAsia="Aptos" w:hAnsi="Aptos"/>
          <w:color w:val="17243A"/>
          <w:sz w:val="18"/>
          <w:szCs w:val="18"/>
        </w:rPr>
        <w:t xml:space="preserve">Migrated and remediated enterprise .NET applications for Azure; built integration/smoke-test automation and Azure DevOps pipelines covering connectivity, authorization, databases, and file services.</w:t>
      </w:r>
    </w:p>
    <w:p>
      <w:pPr>
        <w:keepNext/>
        <w:tabs>
          <w:tab w:val="right" w:pos="9026"/>
        </w:tabs>
        <w:spacing w:after="20" w:before="70"/>
      </w:pPr>
      <w:r>
        <w:rPr>
          <w:rFonts w:ascii="Aptos" w:cs="Aptos" w:eastAsia="Aptos" w:hAnsi="Aptos"/>
          <w:b/>
          <w:bCs/>
          <w:color w:val="17243A"/>
          <w:sz w:val="19"/>
          <w:szCs w:val="19"/>
        </w:rPr>
        <w:t xml:space="preserve">Meyer Technologies</w:t>
      </w:r>
      <w:r>
        <w:rPr>
          <w:rFonts w:ascii="Aptos" w:cs="Aptos" w:eastAsia="Aptos" w:hAnsi="Aptos"/>
          <w:b/>
          <w:bCs/>
          <w:color w:val="0B5C8E"/>
          <w:sz w:val="18"/>
          <w:szCs w:val="18"/>
        </w:rPr>
        <w:t xml:space="preserve">  |  Software Developer</w:t>
      </w:r>
      <w:r>
        <w:rPr>
          <w:rFonts w:ascii="Aptos" w:cs="Aptos" w:eastAsia="Aptos" w:hAnsi="Aptos"/>
          <w:color w:val="536273"/>
          <w:sz w:val="17"/>
          <w:szCs w:val="17"/>
        </w:rPr>
        <w:t xml:space="preserve">	2017–2019</w:t>
      </w:r>
    </w:p>
    <w:p>
      <w:pPr>
        <w:pStyle w:val="ListParagraph"/>
        <w:numPr>
          <w:ilvl w:val="0"/>
          <w:numId w:val="2"/>
        </w:numPr>
        <w:spacing w:after="35" w:line="220"/>
      </w:pPr>
      <w:r>
        <w:rPr>
          <w:rFonts w:ascii="Aptos" w:cs="Aptos" w:eastAsia="Aptos" w:hAnsi="Aptos"/>
          <w:color w:val="17243A"/>
          <w:sz w:val="18"/>
          <w:szCs w:val="18"/>
        </w:rPr>
        <w:t xml:space="preserve">Built custom C#, .NET, JavaScript/jQuery, API, data, and automated-test solutions for healthcare, marine transportation, and mobile workflows on a three-person engineering team.</w:t>
      </w:r>
    </w:p>
    <w:p>
      <w:pPr>
        <w:pStyle w:val="Heading1"/>
        <w:pBdr>
          <w:bottom w:val="single" w:color="DCE6EC" w:sz="5"/>
        </w:pBdr>
        <w:spacing w:after="55" w:before="110"/>
      </w:pPr>
      <w:r>
        <w:rPr>
          <w:rFonts w:ascii="Aptos" w:cs="Aptos" w:eastAsia="Aptos" w:hAnsi="Aptos"/>
          <w:b/>
          <w:bCs/>
          <w:color w:val="087F8C"/>
          <w:spacing w:val="55"/>
          <w:sz w:val="19"/>
          <w:szCs w:val="19"/>
        </w:rPr>
        <w:t xml:space="preserve">TECHNICAL DEPTH</w:t>
      </w:r>
    </w:p>
    <w:p>
      <w:pPr>
        <w:spacing w:after="55" w:line="225"/>
      </w:pPr>
      <w:r>
        <w:rPr>
          <w:rFonts w:ascii="Aptos" w:cs="Aptos" w:eastAsia="Aptos" w:hAnsi="Aptos"/>
          <w:b/>
          <w:bCs/>
          <w:color w:val="0B5C8E"/>
          <w:sz w:val="18"/>
          <w:szCs w:val="18"/>
        </w:rPr>
        <w:t xml:space="preserve">AI / DATA: </w:t>
      </w:r>
      <w:r>
        <w:rPr>
          <w:rFonts w:ascii="Aptos" w:cs="Aptos" w:eastAsia="Aptos" w:hAnsi="Aptos"/>
          <w:color w:val="17243A"/>
          <w:sz w:val="18"/>
          <w:szCs w:val="18"/>
        </w:rPr>
        <w:t xml:space="preserve">MCP, RAG, embeddings, vector search, ChromaDB, pgvector, LLM orchestration, agent memory, evaluation gates, HITL, document intelligence, ontology and provenance design</w:t>
      </w:r>
    </w:p>
    <w:p>
      <w:pPr>
        <w:spacing w:after="55" w:line="225"/>
      </w:pPr>
      <w:r>
        <w:rPr>
          <w:rFonts w:ascii="Aptos" w:cs="Aptos" w:eastAsia="Aptos" w:hAnsi="Aptos"/>
          <w:b/>
          <w:bCs/>
          <w:color w:val="0B5C8E"/>
          <w:sz w:val="18"/>
          <w:szCs w:val="18"/>
        </w:rPr>
        <w:t xml:space="preserve">ENGINEERING: </w:t>
      </w:r>
      <w:r>
        <w:rPr>
          <w:rFonts w:ascii="Aptos" w:cs="Aptos" w:eastAsia="Aptos" w:hAnsi="Aptos"/>
          <w:color w:val="17243A"/>
          <w:sz w:val="18"/>
          <w:szCs w:val="18"/>
        </w:rPr>
        <w:t xml:space="preserve">Python, TypeScript, JavaScript, C#, SQL · .NET 9 / ASP.NET Core, FastAPI, Node.js, React · PostgreSQL, SQL Server, SQLite · Azure, Docker, GitHub Actions, Cloudflare R2, Microsoft Graph</w:t>
      </w:r>
    </w:p>
    <w:p>
      <w:pPr>
        <w:pStyle w:val="Heading1"/>
        <w:pBdr>
          <w:bottom w:val="single" w:color="DCE6EC" w:sz="5"/>
        </w:pBdr>
        <w:spacing w:after="55" w:before="110"/>
      </w:pPr>
      <w:r>
        <w:rPr>
          <w:rFonts w:ascii="Aptos" w:cs="Aptos" w:eastAsia="Aptos" w:hAnsi="Aptos"/>
          <w:b/>
          <w:bCs/>
          <w:color w:val="087F8C"/>
          <w:spacing w:val="55"/>
          <w:sz w:val="19"/>
          <w:szCs w:val="19"/>
        </w:rPr>
        <w:t xml:space="preserve">EDUCATION &amp; CREDENTIALS</w:t>
      </w:r>
    </w:p>
    <w:p>
      <w:pPr>
        <w:spacing w:after="55" w:line="225"/>
      </w:pPr>
      <w:r>
        <w:rPr>
          <w:rFonts w:ascii="Aptos" w:cs="Aptos" w:eastAsia="Aptos" w:hAnsi="Aptos"/>
          <w:b/>
          <w:bCs/>
          <w:color w:val="17243A"/>
          <w:sz w:val="18"/>
          <w:szCs w:val="18"/>
        </w:rPr>
        <w:t xml:space="preserve">B.S. Computer Science</w:t>
      </w:r>
      <w:r>
        <w:rPr>
          <w:rFonts w:ascii="Aptos" w:cs="Aptos" w:eastAsia="Aptos" w:hAnsi="Aptos"/>
          <w:color w:val="17243A"/>
          <w:sz w:val="18"/>
          <w:szCs w:val="18"/>
        </w:rPr>
        <w:t xml:space="preserve"> — University of Louisiana at Lafayette, 2019  ·  Microsoft Azure Fundamentals  ·  Microsoft Data Engineer Associate  ·  CompTIA A+ / Network+</w:t>
      </w:r>
    </w:p>
    <w:sectPr>
      <w:pgSz w:w="12240" w:h="15840" w:orient="portrait"/>
      <w:pgMar w:top="475" w:right="650" w:bottom="475" w:left="6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1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7243A"/>
        <w:sz w:val="18"/>
        <w:szCs w:val="18"/>
      </w:rPr>
    </w:rPrDefault>
    <w:pPrDefault>
      <w:pPr>
        <w:spacing w:after="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ullet">
    <w:name w:val="Bullet"/>
    <w:basedOn w:val="Normal"/>
    <w:pPr>
      <w:ind w:left="280" w:hanging="150"/>
    </w:pPr>
    <w:rPr>
      <w:rFonts w:ascii="Aptos" w:cs="Aptos" w:eastAsia="Aptos" w:hAnsi="Apto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4_qtjvdsbavzpmmnqfg8" Type="http://schemas.openxmlformats.org/officeDocument/2006/relationships/hyperlink" Target="mailto:grant@doziertechgroup.com" TargetMode="External"/><Relationship Id="rIdrizz4auvo0-pqjw6pemm0" Type="http://schemas.openxmlformats.org/officeDocument/2006/relationships/hyperlink" Target="https://github.com/grantdozier" TargetMode="External"/><Relationship Id="rIdp8zch4x5otaiuixyi8i7a" Type="http://schemas.openxmlformats.org/officeDocument/2006/relationships/hyperlink" Target="https://www.doziertechgroup.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2026-07-15T00:09:37.533Z</dcterms:created>
  <dcterms:modified xsi:type="dcterms:W3CDTF">2026-07-15T00:09:37.533Z</dcterms:modified>
</cp:coreProperties>
</file>

<file path=docProps/custom.xml><?xml version="1.0" encoding="utf-8"?>
<Properties xmlns="http://schemas.openxmlformats.org/officeDocument/2006/custom-properties" xmlns:vt="http://schemas.openxmlformats.org/officeDocument/2006/docPropsVTypes"/>
</file>