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"/>
        <w:jc w:val="center"/>
      </w:pPr>
      <w:r>
        <w:rPr>
          <w:rFonts w:ascii="Aptos" w:cs="Aptos" w:eastAsia="Aptos" w:hAnsi="Aptos"/>
          <w:b/>
          <w:bCs/>
          <w:color w:val="17243A"/>
          <w:spacing w:val="80"/>
          <w:sz w:val="34"/>
          <w:szCs w:val="34"/>
        </w:rPr>
        <w:t xml:space="preserve">GRANT DOZIER</w:t>
      </w:r>
    </w:p>
    <w:p>
      <w:pPr>
        <w:spacing w:after="35"/>
        <w:jc w:val="center"/>
      </w:pPr>
      <w:r>
        <w:rPr>
          <w:rFonts w:ascii="Aptos" w:cs="Aptos" w:eastAsia="Aptos" w:hAnsi="Aptos"/>
          <w:b/>
          <w:bCs/>
          <w:color w:val="087F8C"/>
          <w:spacing w:val="45"/>
          <w:sz w:val="20"/>
          <w:szCs w:val="20"/>
        </w:rPr>
        <w:t xml:space="preserve">STAFF / SENIOR APPLIED AI ENGINEER</w:t>
      </w:r>
    </w:p>
    <w:p>
      <w:pPr>
        <w:spacing w:after="65"/>
        <w:jc w:val="center"/>
      </w:pPr>
      <w:r>
        <w:rPr>
          <w:rFonts w:ascii="Aptos" w:cs="Aptos" w:eastAsia="Aptos" w:hAnsi="Aptos"/>
          <w:color w:val="17243A"/>
          <w:sz w:val="18"/>
          <w:szCs w:val="18"/>
        </w:rPr>
        <w:t xml:space="preserve">Lafayette, LA  ·  (337) 412-4767  ·  </w:t>
      </w:r>
      <w:hyperlink w:history="1" r:id="rIdc9w8zwgthadw6hnffiueo">
        <w:r>
          <w:rPr>
            <w:rFonts w:ascii="Aptos" w:cs="Aptos" w:eastAsia="Aptos" w:hAnsi="Aptos"/>
            <w:color w:val="0B5C8E"/>
            <w:sz w:val="18"/>
            <w:szCs w:val="18"/>
            <w:u w:val="single"/>
          </w:rPr>
          <w:t xml:space="preserve">grant@doziertechgroup.com</w:t>
        </w:r>
      </w:hyperlink>
      <w:r>
        <w:rPr>
          <w:rFonts w:ascii="Aptos" w:cs="Aptos" w:eastAsia="Aptos" w:hAnsi="Aptos"/>
          <w:color w:val="17243A"/>
          <w:sz w:val="18"/>
          <w:szCs w:val="18"/>
        </w:rPr>
        <w:t xml:space="preserve">  ·  </w:t>
      </w:r>
      <w:hyperlink w:history="1" r:id="rId3t7o1ezv7jog8ad5z69or">
        <w:r>
          <w:rPr>
            <w:rFonts w:ascii="Aptos" w:cs="Aptos" w:eastAsia="Aptos" w:hAnsi="Aptos"/>
            <w:color w:val="0B5C8E"/>
            <w:sz w:val="18"/>
            <w:szCs w:val="18"/>
            <w:u w:val="single"/>
          </w:rPr>
          <w:t xml:space="preserve">GitHub</w:t>
        </w:r>
      </w:hyperlink>
      <w:r>
        <w:rPr>
          <w:rFonts w:ascii="Aptos" w:cs="Aptos" w:eastAsia="Aptos" w:hAnsi="Aptos"/>
          <w:color w:val="17243A"/>
          <w:sz w:val="18"/>
          <w:szCs w:val="18"/>
        </w:rPr>
        <w:t xml:space="preserve">  ·  </w:t>
      </w:r>
      <w:hyperlink w:history="1" r:id="rId_3hcvolqmqaddagqgnjol">
        <w:r>
          <w:rPr>
            <w:rFonts w:ascii="Aptos" w:cs="Aptos" w:eastAsia="Aptos" w:hAnsi="Aptos"/>
            <w:color w:val="0B5C8E"/>
            <w:sz w:val="18"/>
            <w:szCs w:val="18"/>
            <w:u w:val="single"/>
          </w:rPr>
          <w:t xml:space="preserve">Portfolio</w:t>
        </w:r>
      </w:hyperlink>
    </w:p>
    <w:p>
      <w:pPr>
        <w:pStyle w:val="Heading1"/>
        <w:pBdr>
          <w:bottom w:val="single" w:color="DCE6EC" w:sz="5"/>
        </w:pBdr>
        <w:spacing w:after="55" w:before="110"/>
      </w:pPr>
      <w:r>
        <w:rPr>
          <w:rFonts w:ascii="Aptos" w:cs="Aptos" w:eastAsia="Aptos" w:hAnsi="Aptos"/>
          <w:b/>
          <w:bCs/>
          <w:color w:val="087F8C"/>
          <w:spacing w:val="55"/>
          <w:sz w:val="19"/>
          <w:szCs w:val="19"/>
        </w:rPr>
        <w:t xml:space="preserve">PROFILE</w:t>
      </w:r>
    </w:p>
    <w:p>
      <w:pPr>
        <w:spacing w:after="55" w:line="225"/>
      </w:pPr>
      <w:r>
        <w:rPr>
          <w:rFonts w:ascii="Aptos" w:cs="Aptos" w:eastAsia="Aptos" w:hAnsi="Aptos"/>
          <w:color w:val="17243A"/>
          <w:sz w:val="18"/>
          <w:szCs w:val="18"/>
        </w:rPr>
        <w:t xml:space="preserve">Applied AI and platform engineer with 9+ years shipping production software across agent infrastructure, retrieval systems, data platforms, government ERP, and high-stakes operational automation. Founder-level owner who moves from ambiguous domain problem to architecture, implementation, deployment, and measurable outcome. Recent work spans MCP tool ecosystems, human-in-the-loop entity resolution at 22.5M-record scale, governed institutional intelligence, and multimodal document pipelines.</w:t>
      </w:r>
    </w:p>
    <w:p>
      <w:pPr>
        <w:spacing w:after="55" w:line="225"/>
      </w:pPr>
      <w:r>
        <w:rPr>
          <w:rFonts w:ascii="Aptos" w:cs="Aptos" w:eastAsia="Aptos" w:hAnsi="Aptos"/>
          <w:b/>
          <w:bCs/>
          <w:color w:val="0B5C8E"/>
          <w:sz w:val="18"/>
          <w:szCs w:val="18"/>
        </w:rPr>
        <w:t xml:space="preserve">CORE: </w:t>
      </w:r>
      <w:r>
        <w:rPr>
          <w:rFonts w:ascii="Aptos" w:cs="Aptos" w:eastAsia="Aptos" w:hAnsi="Aptos"/>
          <w:color w:val="17243A"/>
          <w:sz w:val="18"/>
          <w:szCs w:val="18"/>
        </w:rPr>
        <w:t xml:space="preserve">Applied AI systems · Agent/tool infrastructure · RAG &amp; retrieval · Data/ontology design · Human-in-the-loop workflows · Distributed systems · Production ownership</w:t>
      </w:r>
    </w:p>
    <w:p>
      <w:pPr>
        <w:pStyle w:val="Heading1"/>
        <w:pBdr>
          <w:bottom w:val="single" w:color="DCE6EC" w:sz="5"/>
        </w:pBdr>
        <w:spacing w:after="55" w:before="110"/>
      </w:pPr>
      <w:r>
        <w:rPr>
          <w:rFonts w:ascii="Aptos" w:cs="Aptos" w:eastAsia="Aptos" w:hAnsi="Aptos"/>
          <w:b/>
          <w:bCs/>
          <w:color w:val="087F8C"/>
          <w:spacing w:val="55"/>
          <w:sz w:val="19"/>
          <w:szCs w:val="19"/>
        </w:rPr>
        <w:t xml:space="preserve">SELECTED AI &amp; PLATFORM IMPACT</w:t>
      </w:r>
    </w:p>
    <w:p>
      <w:pPr>
        <w:spacing w:after="55" w:line="225"/>
      </w:pPr>
      <w:r>
        <w:rPr>
          <w:rFonts w:ascii="Aptos" w:cs="Aptos" w:eastAsia="Aptos" w:hAnsi="Aptos"/>
          <w:b/>
          <w:bCs/>
          <w:color w:val="17243A"/>
          <w:sz w:val="18"/>
          <w:szCs w:val="18"/>
        </w:rPr>
        <w:t xml:space="preserve">AI Operating Layer</w:t>
      </w:r>
      <w:r>
        <w:rPr>
          <w:rFonts w:ascii="Aptos" w:cs="Aptos" w:eastAsia="Aptos" w:hAnsi="Aptos"/>
          <w:b/>
          <w:bCs/>
          <w:color w:val="0B5C8E"/>
          <w:sz w:val="18"/>
          <w:szCs w:val="18"/>
        </w:rPr>
        <w:t xml:space="preserve"> — Founder / Principal Engineer. </w:t>
      </w:r>
      <w:r>
        <w:rPr>
          <w:rFonts w:ascii="Aptos" w:cs="Aptos" w:eastAsia="Aptos" w:hAnsi="Aptos"/>
          <w:color w:val="17243A"/>
          <w:sz w:val="18"/>
          <w:szCs w:val="18"/>
        </w:rPr>
        <w:t xml:space="preserve">Typed MCP ecosystem connecting agent workflows to engineering, communications, files, structured knowledge, transcription, and business operations; 92-commit repository with 161 tracked files.</w:t>
      </w:r>
    </w:p>
    <w:p>
      <w:pPr>
        <w:spacing w:after="55" w:line="225"/>
      </w:pPr>
      <w:r>
        <w:rPr>
          <w:rFonts w:ascii="Aptos" w:cs="Aptos" w:eastAsia="Aptos" w:hAnsi="Aptos"/>
          <w:b/>
          <w:bCs/>
          <w:color w:val="17243A"/>
          <w:sz w:val="18"/>
          <w:szCs w:val="18"/>
        </w:rPr>
        <w:t xml:space="preserve">ATHENA + HERMES</w:t>
      </w:r>
      <w:r>
        <w:rPr>
          <w:rFonts w:ascii="Aptos" w:cs="Aptos" w:eastAsia="Aptos" w:hAnsi="Aptos"/>
          <w:b/>
          <w:bCs/>
          <w:color w:val="0B5C8E"/>
          <w:sz w:val="18"/>
          <w:szCs w:val="18"/>
        </w:rPr>
        <w:t xml:space="preserve"> — Founder / Systems Architect. </w:t>
      </w:r>
      <w:r>
        <w:rPr>
          <w:rFonts w:ascii="Aptos" w:cs="Aptos" w:eastAsia="Aptos" w:hAnsi="Aptos"/>
          <w:color w:val="17243A"/>
          <w:sz w:val="18"/>
          <w:szCs w:val="18"/>
        </w:rPr>
        <w:t xml:space="preserve">Governed institutional-intelligence products built around provenance, bi-temporal rules, explainable signal paths, cross-domain ontologies, and human-final decisions.</w:t>
      </w:r>
    </w:p>
    <w:p>
      <w:pPr>
        <w:spacing w:after="55" w:line="225"/>
      </w:pPr>
      <w:r>
        <w:rPr>
          <w:rFonts w:ascii="Aptos" w:cs="Aptos" w:eastAsia="Aptos" w:hAnsi="Aptos"/>
          <w:b/>
          <w:bCs/>
          <w:color w:val="17243A"/>
          <w:sz w:val="18"/>
          <w:szCs w:val="18"/>
        </w:rPr>
        <w:t xml:space="preserve">TabX Resolution Platform</w:t>
      </w:r>
      <w:r>
        <w:rPr>
          <w:rFonts w:ascii="Aptos" w:cs="Aptos" w:eastAsia="Aptos" w:hAnsi="Aptos"/>
          <w:b/>
          <w:bCs/>
          <w:color w:val="0B5C8E"/>
          <w:sz w:val="18"/>
          <w:szCs w:val="18"/>
        </w:rPr>
        <w:t xml:space="preserve"> — Lead Software Engineer. </w:t>
      </w:r>
      <w:r>
        <w:rPr>
          <w:rFonts w:ascii="Aptos" w:cs="Aptos" w:eastAsia="Aptos" w:hAnsi="Aptos"/>
          <w:color w:val="17243A"/>
          <w:sz w:val="18"/>
          <w:szCs w:val="18"/>
        </w:rPr>
        <w:t xml:space="preserve">AI-assisted entity resolution and analytics across ~22.5M POS units using deterministic matching, embeddings, model verification, confidence gates, and human review.</w:t>
      </w:r>
    </w:p>
    <w:p>
      <w:pPr>
        <w:spacing w:after="55" w:line="225"/>
      </w:pPr>
      <w:r>
        <w:rPr>
          <w:rFonts w:ascii="Aptos" w:cs="Aptos" w:eastAsia="Aptos" w:hAnsi="Aptos"/>
          <w:b/>
          <w:bCs/>
          <w:color w:val="17243A"/>
          <w:sz w:val="18"/>
          <w:szCs w:val="18"/>
        </w:rPr>
        <w:t xml:space="preserve">Royal Engineering Automation</w:t>
      </w:r>
      <w:r>
        <w:rPr>
          <w:rFonts w:ascii="Aptos" w:cs="Aptos" w:eastAsia="Aptos" w:hAnsi="Aptos"/>
          <w:b/>
          <w:bCs/>
          <w:color w:val="0B5C8E"/>
          <w:sz w:val="18"/>
          <w:szCs w:val="18"/>
        </w:rPr>
        <w:t xml:space="preserve"> — Founder / Systems Architect. </w:t>
      </w:r>
      <w:r>
        <w:rPr>
          <w:rFonts w:ascii="Aptos" w:cs="Aptos" w:eastAsia="Aptos" w:hAnsi="Aptos"/>
          <w:color w:val="17243A"/>
          <w:sz w:val="18"/>
          <w:szCs w:val="18"/>
        </w:rPr>
        <w:t xml:space="preserve">React/.NET/PDF/Excel pipeline processing up to 300 model outputs per upload; reduced multi-week settlement analysis to minutes and documented 95% cycle-time reduction.</w:t>
      </w:r>
    </w:p>
    <w:p>
      <w:r>
        <w:br w:type="page"/>
      </w:r>
    </w:p>
    <w:p>
      <w:pPr>
        <w:pStyle w:val="Heading1"/>
        <w:pBdr>
          <w:bottom w:val="single" w:color="DCE6EC" w:sz="5"/>
        </w:pBdr>
        <w:spacing w:after="55" w:before="110"/>
      </w:pPr>
      <w:r>
        <w:rPr>
          <w:rFonts w:ascii="Aptos" w:cs="Aptos" w:eastAsia="Aptos" w:hAnsi="Aptos"/>
          <w:b/>
          <w:bCs/>
          <w:color w:val="087F8C"/>
          <w:spacing w:val="55"/>
          <w:sz w:val="19"/>
          <w:szCs w:val="19"/>
        </w:rPr>
        <w:t xml:space="preserve">EXPERIENCE</w:t>
      </w:r>
    </w:p>
    <w:p>
      <w:pPr>
        <w:keepNext/>
        <w:tabs>
          <w:tab w:val="right" w:pos="9026"/>
        </w:tabs>
        <w:spacing w:after="20" w:before="70"/>
      </w:pPr>
      <w:r>
        <w:rPr>
          <w:rFonts w:ascii="Aptos" w:cs="Aptos" w:eastAsia="Aptos" w:hAnsi="Aptos"/>
          <w:b/>
          <w:bCs/>
          <w:color w:val="17243A"/>
          <w:sz w:val="19"/>
          <w:szCs w:val="19"/>
        </w:rPr>
        <w:t xml:space="preserve">Dozier Tech Group</w:t>
      </w:r>
      <w:r>
        <w:rPr>
          <w:rFonts w:ascii="Aptos" w:cs="Aptos" w:eastAsia="Aptos" w:hAnsi="Aptos"/>
          <w:b/>
          <w:bCs/>
          <w:color w:val="0B5C8E"/>
          <w:sz w:val="18"/>
          <w:szCs w:val="18"/>
        </w:rPr>
        <w:t xml:space="preserve">  |  Founder &amp; Principal Engineer</w:t>
      </w:r>
      <w:r>
        <w:rPr>
          <w:rFonts w:ascii="Aptos" w:cs="Aptos" w:eastAsia="Aptos" w:hAnsi="Aptos"/>
          <w:color w:val="536273"/>
          <w:sz w:val="17"/>
          <w:szCs w:val="17"/>
        </w:rPr>
        <w:t xml:space="preserve">	2025–Present</w:t>
      </w:r>
    </w:p>
    <w:p>
      <w:pPr>
        <w:pStyle w:val="ListParagraph"/>
        <w:numPr>
          <w:ilvl w:val="0"/>
          <w:numId w:val="2"/>
        </w:numPr>
        <w:spacing w:after="35" w:line="220"/>
      </w:pPr>
      <w:r>
        <w:rPr>
          <w:rFonts w:ascii="Aptos" w:cs="Aptos" w:eastAsia="Aptos" w:hAnsi="Aptos"/>
          <w:color w:val="17243A"/>
          <w:sz w:val="18"/>
          <w:szCs w:val="18"/>
        </w:rPr>
        <w:t xml:space="preserve">Built a typed Model Context Protocol operating layer spanning 100+ TypeScript source files and integrations across GitHub, Linear, Microsoft 365, Google Drive, Cloudflare R2, transcription, billing, and institutional memory—turning fragmented tools into one governed agent workspace.</w:t>
      </w:r>
    </w:p>
    <w:p>
      <w:pPr>
        <w:pStyle w:val="ListParagraph"/>
        <w:numPr>
          <w:ilvl w:val="0"/>
          <w:numId w:val="2"/>
        </w:numPr>
        <w:spacing w:after="35" w:line="220"/>
      </w:pPr>
      <w:r>
        <w:rPr>
          <w:rFonts w:ascii="Aptos" w:cs="Aptos" w:eastAsia="Aptos" w:hAnsi="Aptos"/>
          <w:color w:val="17243A"/>
          <w:sz w:val="18"/>
          <w:szCs w:val="18"/>
        </w:rPr>
        <w:t xml:space="preserve">Designed an autonomous opportunity-intelligence engine that ingests and ranks 933 funding and procurement opportunities across SAM.gov, Grants.gov, Louisiana procurement, DOTD, and health sources; paired discovery with qualification, proposal, and Supabase delivery workflows.</w:t>
      </w:r>
    </w:p>
    <w:p>
      <w:pPr>
        <w:pStyle w:val="ListParagraph"/>
        <w:numPr>
          <w:ilvl w:val="0"/>
          <w:numId w:val="2"/>
        </w:numPr>
        <w:spacing w:after="35" w:line="220"/>
      </w:pPr>
      <w:r>
        <w:rPr>
          <w:rFonts w:ascii="Aptos" w:cs="Aptos" w:eastAsia="Aptos" w:hAnsi="Aptos"/>
          <w:color w:val="17243A"/>
          <w:sz w:val="18"/>
          <w:szCs w:val="18"/>
        </w:rPr>
        <w:t xml:space="preserve">Architected RAG and document-intelligence systems for construction operations, connecting email, files, calendars, vendor history, SOPs, and project context; client case study reports 10–20 hours of productive capacity recovered per person per project.</w:t>
      </w:r>
    </w:p>
    <w:p>
      <w:pPr>
        <w:keepNext/>
        <w:tabs>
          <w:tab w:val="right" w:pos="9026"/>
        </w:tabs>
        <w:spacing w:after="20" w:before="70"/>
      </w:pPr>
      <w:r>
        <w:rPr>
          <w:rFonts w:ascii="Aptos" w:cs="Aptos" w:eastAsia="Aptos" w:hAnsi="Aptos"/>
          <w:b/>
          <w:bCs/>
          <w:color w:val="17243A"/>
          <w:sz w:val="19"/>
          <w:szCs w:val="19"/>
        </w:rPr>
        <w:t xml:space="preserve">TabX</w:t>
      </w:r>
      <w:r>
        <w:rPr>
          <w:rFonts w:ascii="Aptos" w:cs="Aptos" w:eastAsia="Aptos" w:hAnsi="Aptos"/>
          <w:b/>
          <w:bCs/>
          <w:color w:val="0B5C8E"/>
          <w:sz w:val="18"/>
          <w:szCs w:val="18"/>
        </w:rPr>
        <w:t xml:space="preserve">  |  Lead Software Engineer</w:t>
      </w:r>
      <w:r>
        <w:rPr>
          <w:rFonts w:ascii="Aptos" w:cs="Aptos" w:eastAsia="Aptos" w:hAnsi="Aptos"/>
          <w:color w:val="536273"/>
          <w:sz w:val="17"/>
          <w:szCs w:val="17"/>
        </w:rPr>
        <w:t xml:space="preserve">	2024–Present</w:t>
      </w:r>
    </w:p>
    <w:p>
      <w:pPr>
        <w:pStyle w:val="ListParagraph"/>
        <w:numPr>
          <w:ilvl w:val="0"/>
          <w:numId w:val="2"/>
        </w:numPr>
        <w:spacing w:after="35" w:line="220"/>
      </w:pPr>
      <w:r>
        <w:rPr>
          <w:rFonts w:ascii="Aptos" w:cs="Aptos" w:eastAsia="Aptos" w:hAnsi="Aptos"/>
          <w:color w:val="17243A"/>
          <w:sz w:val="18"/>
          <w:szCs w:val="18"/>
        </w:rPr>
        <w:t xml:space="preserve">Architected an AI-assisted beverage data platform that normalizes and maps approximately 22.5M POS units using deterministic resolution, embeddings, model verification, confidence thresholds, and human review.</w:t>
      </w:r>
    </w:p>
    <w:p>
      <w:pPr>
        <w:pStyle w:val="ListParagraph"/>
        <w:numPr>
          <w:ilvl w:val="0"/>
          <w:numId w:val="2"/>
        </w:numPr>
        <w:spacing w:after="35" w:line="220"/>
      </w:pPr>
      <w:r>
        <w:rPr>
          <w:rFonts w:ascii="Aptos" w:cs="Aptos" w:eastAsia="Aptos" w:hAnsi="Aptos"/>
          <w:color w:val="17243A"/>
          <w:sz w:val="18"/>
          <w:szCs w:val="18"/>
        </w:rPr>
        <w:t xml:space="preserve">Owned a polyglot platform across .NET 9, React 19, Python/FastAPI, MCP, SQL Server, and production data workflows; designed the system so uncertain model output is reviewable instead of silently committed.</w:t>
      </w:r>
    </w:p>
    <w:p>
      <w:pPr>
        <w:keepNext/>
        <w:tabs>
          <w:tab w:val="right" w:pos="9026"/>
        </w:tabs>
        <w:spacing w:after="20" w:before="70"/>
      </w:pPr>
      <w:r>
        <w:rPr>
          <w:rFonts w:ascii="Aptos" w:cs="Aptos" w:eastAsia="Aptos" w:hAnsi="Aptos"/>
          <w:b/>
          <w:bCs/>
          <w:color w:val="17243A"/>
          <w:sz w:val="19"/>
          <w:szCs w:val="19"/>
        </w:rPr>
        <w:t xml:space="preserve">MetVero</w:t>
      </w:r>
      <w:r>
        <w:rPr>
          <w:rFonts w:ascii="Aptos" w:cs="Aptos" w:eastAsia="Aptos" w:hAnsi="Aptos"/>
          <w:b/>
          <w:bCs/>
          <w:color w:val="0B5C8E"/>
          <w:sz w:val="18"/>
          <w:szCs w:val="18"/>
        </w:rPr>
        <w:t xml:space="preserve">  |  Founder &amp; Systems Architect</w:t>
      </w:r>
      <w:r>
        <w:rPr>
          <w:rFonts w:ascii="Aptos" w:cs="Aptos" w:eastAsia="Aptos" w:hAnsi="Aptos"/>
          <w:color w:val="536273"/>
          <w:sz w:val="17"/>
          <w:szCs w:val="17"/>
        </w:rPr>
        <w:t xml:space="preserve">	2026–Present</w:t>
      </w:r>
    </w:p>
    <w:p>
      <w:pPr>
        <w:pStyle w:val="ListParagraph"/>
        <w:numPr>
          <w:ilvl w:val="0"/>
          <w:numId w:val="2"/>
        </w:numPr>
        <w:spacing w:after="35" w:line="220"/>
      </w:pPr>
      <w:r>
        <w:rPr>
          <w:rFonts w:ascii="Aptos" w:cs="Aptos" w:eastAsia="Aptos" w:hAnsi="Aptos"/>
          <w:color w:val="17243A"/>
          <w:sz w:val="18"/>
          <w:szCs w:val="18"/>
        </w:rPr>
        <w:t xml:space="preserve">Designed ATHENA, a governed institutional-intelligence architecture that unifies fragmented student-success signals into sourced, role-calibrated “decision surfaces” for students, advisors, departments, and leaders.</w:t>
      </w:r>
    </w:p>
    <w:p>
      <w:pPr>
        <w:pStyle w:val="ListParagraph"/>
        <w:numPr>
          <w:ilvl w:val="0"/>
          <w:numId w:val="2"/>
        </w:numPr>
        <w:spacing w:after="35" w:line="220"/>
      </w:pPr>
      <w:r>
        <w:rPr>
          <w:rFonts w:ascii="Aptos" w:cs="Aptos" w:eastAsia="Aptos" w:hAnsi="Aptos"/>
          <w:color w:val="17243A"/>
          <w:sz w:val="18"/>
          <w:szCs w:val="18"/>
        </w:rPr>
        <w:t xml:space="preserve">Defined a bi-temporal ontology and risk-reason engine that preserves provenance, counter-evidence, rule versions, uncertainty, and human override—an architectural approach to explainability and accountable AI, not a policy wrapper.</w:t>
      </w:r>
    </w:p>
    <w:p>
      <w:pPr>
        <w:pStyle w:val="ListParagraph"/>
        <w:numPr>
          <w:ilvl w:val="0"/>
          <w:numId w:val="2"/>
        </w:numPr>
        <w:spacing w:after="35" w:line="220"/>
      </w:pPr>
      <w:r>
        <w:rPr>
          <w:rFonts w:ascii="Aptos" w:cs="Aptos" w:eastAsia="Aptos" w:hAnsi="Aptos"/>
          <w:color w:val="17243A"/>
          <w:sz w:val="18"/>
          <w:szCs w:val="18"/>
        </w:rPr>
        <w:t xml:space="preserve">Extended the same intelligence core into HERMES for complex sports organizations, modeling cross-domain signals across performance, medical, recruitment, roster, compliance, and commercial systems.</w:t>
      </w:r>
    </w:p>
    <w:p>
      <w:pPr>
        <w:keepNext/>
        <w:tabs>
          <w:tab w:val="right" w:pos="9026"/>
        </w:tabs>
        <w:spacing w:after="20" w:before="70"/>
      </w:pPr>
      <w:r>
        <w:rPr>
          <w:rFonts w:ascii="Aptos" w:cs="Aptos" w:eastAsia="Aptos" w:hAnsi="Aptos"/>
          <w:b/>
          <w:bCs/>
          <w:color w:val="17243A"/>
          <w:sz w:val="19"/>
          <w:szCs w:val="19"/>
        </w:rPr>
        <w:t xml:space="preserve">CGI</w:t>
      </w:r>
      <w:r>
        <w:rPr>
          <w:rFonts w:ascii="Aptos" w:cs="Aptos" w:eastAsia="Aptos" w:hAnsi="Aptos"/>
          <w:b/>
          <w:bCs/>
          <w:color w:val="0B5C8E"/>
          <w:sz w:val="18"/>
          <w:szCs w:val="18"/>
        </w:rPr>
        <w:t xml:space="preserve">  |  Solutions Developer / Transition Co-Lead</w:t>
      </w:r>
      <w:r>
        <w:rPr>
          <w:rFonts w:ascii="Aptos" w:cs="Aptos" w:eastAsia="Aptos" w:hAnsi="Aptos"/>
          <w:color w:val="536273"/>
          <w:sz w:val="17"/>
          <w:szCs w:val="17"/>
        </w:rPr>
        <w:t xml:space="preserve">	2023–2024</w:t>
      </w:r>
    </w:p>
    <w:p>
      <w:pPr>
        <w:pStyle w:val="ListParagraph"/>
        <w:numPr>
          <w:ilvl w:val="0"/>
          <w:numId w:val="2"/>
        </w:numPr>
        <w:spacing w:after="35" w:line="220"/>
      </w:pPr>
      <w:r>
        <w:rPr>
          <w:rFonts w:ascii="Aptos" w:cs="Aptos" w:eastAsia="Aptos" w:hAnsi="Aptos"/>
          <w:color w:val="17243A"/>
          <w:sz w:val="18"/>
          <w:szCs w:val="18"/>
        </w:rPr>
        <w:t xml:space="preserve">Co-led transition of government clients onto CGI Advantage ERP, owning custom solution development, environment planning, deployment, QA, performance readiness, documentation, training, and stakeholder coordination.</w:t>
      </w:r>
    </w:p>
    <w:p>
      <w:pPr>
        <w:pStyle w:val="ListParagraph"/>
        <w:numPr>
          <w:ilvl w:val="0"/>
          <w:numId w:val="2"/>
        </w:numPr>
        <w:spacing w:after="35" w:line="220"/>
      </w:pPr>
      <w:r>
        <w:rPr>
          <w:rFonts w:ascii="Aptos" w:cs="Aptos" w:eastAsia="Aptos" w:hAnsi="Aptos"/>
          <w:color w:val="17243A"/>
          <w:sz w:val="18"/>
          <w:szCs w:val="18"/>
        </w:rPr>
        <w:t xml:space="preserve">Turned client-specific operational and regulatory requirements into production configurations and repeatable transition practices for large state and local government environments.</w:t>
      </w:r>
    </w:p>
    <w:p>
      <w:pPr>
        <w:keepNext/>
        <w:tabs>
          <w:tab w:val="right" w:pos="9026"/>
        </w:tabs>
        <w:spacing w:after="20" w:before="70"/>
      </w:pPr>
      <w:r>
        <w:rPr>
          <w:rFonts w:ascii="Aptos" w:cs="Aptos" w:eastAsia="Aptos" w:hAnsi="Aptos"/>
          <w:b/>
          <w:bCs/>
          <w:color w:val="17243A"/>
          <w:sz w:val="19"/>
          <w:szCs w:val="19"/>
        </w:rPr>
        <w:t xml:space="preserve">Perficient</w:t>
      </w:r>
      <w:r>
        <w:rPr>
          <w:rFonts w:ascii="Aptos" w:cs="Aptos" w:eastAsia="Aptos" w:hAnsi="Aptos"/>
          <w:b/>
          <w:bCs/>
          <w:color w:val="0B5C8E"/>
          <w:sz w:val="18"/>
          <w:szCs w:val="18"/>
        </w:rPr>
        <w:t xml:space="preserve">  |  Associate Technical Consultant</w:t>
      </w:r>
      <w:r>
        <w:rPr>
          <w:rFonts w:ascii="Aptos" w:cs="Aptos" w:eastAsia="Aptos" w:hAnsi="Aptos"/>
          <w:color w:val="536273"/>
          <w:sz w:val="17"/>
          <w:szCs w:val="17"/>
        </w:rPr>
        <w:t xml:space="preserve">	2020–2022</w:t>
      </w:r>
    </w:p>
    <w:p>
      <w:pPr>
        <w:pStyle w:val="ListParagraph"/>
        <w:numPr>
          <w:ilvl w:val="0"/>
          <w:numId w:val="2"/>
        </w:numPr>
        <w:spacing w:after="35" w:line="220"/>
      </w:pPr>
      <w:r>
        <w:rPr>
          <w:rFonts w:ascii="Aptos" w:cs="Aptos" w:eastAsia="Aptos" w:hAnsi="Aptos"/>
          <w:color w:val="17243A"/>
          <w:sz w:val="18"/>
          <w:szCs w:val="18"/>
        </w:rPr>
        <w:t xml:space="preserve">Shipped React tooling for a global software company’s enterprise onboarding organization and delivered real-time technical solutions with customer engineering teams.</w:t>
      </w:r>
    </w:p>
    <w:p>
      <w:pPr>
        <w:pStyle w:val="ListParagraph"/>
        <w:numPr>
          <w:ilvl w:val="0"/>
          <w:numId w:val="2"/>
        </w:numPr>
        <w:spacing w:after="35" w:line="220"/>
      </w:pPr>
      <w:r>
        <w:rPr>
          <w:rFonts w:ascii="Aptos" w:cs="Aptos" w:eastAsia="Aptos" w:hAnsi="Aptos"/>
          <w:color w:val="17243A"/>
          <w:sz w:val="18"/>
          <w:szCs w:val="18"/>
        </w:rPr>
        <w:t xml:space="preserve">Migrated and remediated enterprise .NET applications for Azure; built integration/smoke-test automation and Azure DevOps pipelines covering connectivity, authorization, databases, and file services.</w:t>
      </w:r>
    </w:p>
    <w:p>
      <w:pPr>
        <w:keepNext/>
        <w:tabs>
          <w:tab w:val="right" w:pos="9026"/>
        </w:tabs>
        <w:spacing w:after="20" w:before="70"/>
      </w:pPr>
      <w:r>
        <w:rPr>
          <w:rFonts w:ascii="Aptos" w:cs="Aptos" w:eastAsia="Aptos" w:hAnsi="Aptos"/>
          <w:b/>
          <w:bCs/>
          <w:color w:val="17243A"/>
          <w:sz w:val="19"/>
          <w:szCs w:val="19"/>
        </w:rPr>
        <w:t xml:space="preserve">Meyer Technologies</w:t>
      </w:r>
      <w:r>
        <w:rPr>
          <w:rFonts w:ascii="Aptos" w:cs="Aptos" w:eastAsia="Aptos" w:hAnsi="Aptos"/>
          <w:b/>
          <w:bCs/>
          <w:color w:val="0B5C8E"/>
          <w:sz w:val="18"/>
          <w:szCs w:val="18"/>
        </w:rPr>
        <w:t xml:space="preserve">  |  Software Developer</w:t>
      </w:r>
      <w:r>
        <w:rPr>
          <w:rFonts w:ascii="Aptos" w:cs="Aptos" w:eastAsia="Aptos" w:hAnsi="Aptos"/>
          <w:color w:val="536273"/>
          <w:sz w:val="17"/>
          <w:szCs w:val="17"/>
        </w:rPr>
        <w:t xml:space="preserve">	2017–2019</w:t>
      </w:r>
    </w:p>
    <w:p>
      <w:pPr>
        <w:pStyle w:val="ListParagraph"/>
        <w:numPr>
          <w:ilvl w:val="0"/>
          <w:numId w:val="2"/>
        </w:numPr>
        <w:spacing w:after="35" w:line="220"/>
      </w:pPr>
      <w:r>
        <w:rPr>
          <w:rFonts w:ascii="Aptos" w:cs="Aptos" w:eastAsia="Aptos" w:hAnsi="Aptos"/>
          <w:color w:val="17243A"/>
          <w:sz w:val="18"/>
          <w:szCs w:val="18"/>
        </w:rPr>
        <w:t xml:space="preserve">Built custom C#, .NET, JavaScript/jQuery, API, data, and automated-test solutions for healthcare, marine transportation, and mobile workflows on a three-person engineering team.</w:t>
      </w:r>
    </w:p>
    <w:p>
      <w:pPr>
        <w:pStyle w:val="Heading1"/>
        <w:pBdr>
          <w:bottom w:val="single" w:color="DCE6EC" w:sz="5"/>
        </w:pBdr>
        <w:spacing w:after="55" w:before="110"/>
      </w:pPr>
      <w:r>
        <w:rPr>
          <w:rFonts w:ascii="Aptos" w:cs="Aptos" w:eastAsia="Aptos" w:hAnsi="Aptos"/>
          <w:b/>
          <w:bCs/>
          <w:color w:val="087F8C"/>
          <w:spacing w:val="55"/>
          <w:sz w:val="19"/>
          <w:szCs w:val="19"/>
        </w:rPr>
        <w:t xml:space="preserve">TECHNICAL DEPTH</w:t>
      </w:r>
    </w:p>
    <w:p>
      <w:pPr>
        <w:spacing w:after="55" w:line="225"/>
      </w:pPr>
      <w:r>
        <w:rPr>
          <w:rFonts w:ascii="Aptos" w:cs="Aptos" w:eastAsia="Aptos" w:hAnsi="Aptos"/>
          <w:b/>
          <w:bCs/>
          <w:color w:val="0B5C8E"/>
          <w:sz w:val="18"/>
          <w:szCs w:val="18"/>
        </w:rPr>
        <w:t xml:space="preserve">AI / DATA: </w:t>
      </w:r>
      <w:r>
        <w:rPr>
          <w:rFonts w:ascii="Aptos" w:cs="Aptos" w:eastAsia="Aptos" w:hAnsi="Aptos"/>
          <w:color w:val="17243A"/>
          <w:sz w:val="18"/>
          <w:szCs w:val="18"/>
        </w:rPr>
        <w:t xml:space="preserve">MCP, RAG, embeddings, vector search, ChromaDB, pgvector, LLM orchestration, agent memory, evaluation gates, HITL, document intelligence, ontology and provenance design</w:t>
      </w:r>
    </w:p>
    <w:p>
      <w:pPr>
        <w:spacing w:after="55" w:line="225"/>
      </w:pPr>
      <w:r>
        <w:rPr>
          <w:rFonts w:ascii="Aptos" w:cs="Aptos" w:eastAsia="Aptos" w:hAnsi="Aptos"/>
          <w:b/>
          <w:bCs/>
          <w:color w:val="0B5C8E"/>
          <w:sz w:val="18"/>
          <w:szCs w:val="18"/>
        </w:rPr>
        <w:t xml:space="preserve">ENGINEERING: </w:t>
      </w:r>
      <w:r>
        <w:rPr>
          <w:rFonts w:ascii="Aptos" w:cs="Aptos" w:eastAsia="Aptos" w:hAnsi="Aptos"/>
          <w:color w:val="17243A"/>
          <w:sz w:val="18"/>
          <w:szCs w:val="18"/>
        </w:rPr>
        <w:t xml:space="preserve">Python, TypeScript, JavaScript, C#, SQL · .NET 9 / ASP.NET Core, FastAPI, Node.js, React · PostgreSQL, SQL Server, SQLite · Azure, Docker, GitHub Actions, Cloudflare R2, Microsoft Graph</w:t>
      </w:r>
    </w:p>
    <w:p>
      <w:pPr>
        <w:pStyle w:val="Heading1"/>
        <w:pBdr>
          <w:bottom w:val="single" w:color="DCE6EC" w:sz="5"/>
        </w:pBdr>
        <w:spacing w:after="55" w:before="110"/>
      </w:pPr>
      <w:r>
        <w:rPr>
          <w:rFonts w:ascii="Aptos" w:cs="Aptos" w:eastAsia="Aptos" w:hAnsi="Aptos"/>
          <w:b/>
          <w:bCs/>
          <w:color w:val="087F8C"/>
          <w:spacing w:val="55"/>
          <w:sz w:val="19"/>
          <w:szCs w:val="19"/>
        </w:rPr>
        <w:t xml:space="preserve">EDUCATION &amp; CREDENTIALS</w:t>
      </w:r>
    </w:p>
    <w:p>
      <w:pPr>
        <w:spacing w:after="55" w:line="225"/>
      </w:pPr>
      <w:r>
        <w:rPr>
          <w:rFonts w:ascii="Aptos" w:cs="Aptos" w:eastAsia="Aptos" w:hAnsi="Aptos"/>
          <w:b/>
          <w:bCs/>
          <w:color w:val="17243A"/>
          <w:sz w:val="18"/>
          <w:szCs w:val="18"/>
        </w:rPr>
        <w:t xml:space="preserve">B.S. Computer Science</w:t>
      </w:r>
      <w:r>
        <w:rPr>
          <w:rFonts w:ascii="Aptos" w:cs="Aptos" w:eastAsia="Aptos" w:hAnsi="Aptos"/>
          <w:color w:val="17243A"/>
          <w:sz w:val="18"/>
          <w:szCs w:val="18"/>
        </w:rPr>
        <w:t xml:space="preserve"> — University of Louisiana at Lafayette, 2019  ·  Microsoft Azure Fundamentals  ·  Microsoft Data Engineer Associate  ·  CompTIA A+ / Network+</w:t>
      </w:r>
    </w:p>
    <w:sectPr>
      <w:pgSz w:w="12240" w:h="15840" w:orient="portrait"/>
      <w:pgMar w:top="475" w:right="650" w:bottom="475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7243A"/>
        <w:sz w:val="18"/>
        <w:szCs w:val="18"/>
      </w:rPr>
    </w:rPrDefault>
    <w:pPrDefault>
      <w:pPr>
        <w:spacing w:after="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ullet">
    <w:name w:val="Bullet"/>
    <w:basedOn w:val="Normal"/>
    <w:pPr>
      <w:ind w:left="280" w:hanging="150"/>
    </w:pPr>
    <w:rPr>
      <w:rFonts w:ascii="Aptos" w:cs="Aptos" w:eastAsia="Aptos" w:hAnsi="Aptos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9w8zwgthadw6hnffiueo" Type="http://schemas.openxmlformats.org/officeDocument/2006/relationships/hyperlink" Target="mailto:grant@doziertechgroup.com" TargetMode="External"/><Relationship Id="rId3t7o1ezv7jog8ad5z69or" Type="http://schemas.openxmlformats.org/officeDocument/2006/relationships/hyperlink" Target="https://github.com/grantdozier" TargetMode="External"/><Relationship Id="rId_3hcvolqmqaddagqgnjol" Type="http://schemas.openxmlformats.org/officeDocument/2006/relationships/hyperlink" Target="https://www.doziertechgroup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2026-07-15T00:09:37.477Z</dcterms:created>
  <dcterms:modified xsi:type="dcterms:W3CDTF">2026-07-15T00:09:37.478Z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