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REPOSITORY-BACKED TECHNICAL PROOF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GitHub Evidence Brief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A map from résumé claims to code, architecture, and shipped systems.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460"/>
      </w:tblGrid>
      <w:tr>
        <w:trPr>
          <w:cantSplit/>
        </w:trPr>
        <w:tc>
          <w:tcPr>
            <w:tcW w:type="dxa" w:w="2100"/>
            <w:tcBorders>
              <w:top w:val="none"/>
              <w:left w:val="none"/>
              <w:bottom w:val="none"/>
              <w:right w:val="none"/>
            </w:tcBorders>
            <w:shd w:fill="146C94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16"/>
                <w:szCs w:val="16"/>
              </w:rPr>
              <w:t xml:space="preserve">READ THIS FIRST</w:t>
            </w:r>
          </w:p>
        </w:tc>
        <w:tc>
          <w:tcPr>
            <w:tcW w:type="dxa" w:w="8460"/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ptos" w:cs="Aptos" w:eastAsia="Aptos" w:hAnsi="Aptos"/>
                <w:b/>
                <w:bCs/>
                <w:color w:val="0D1B3D"/>
                <w:sz w:val="19"/>
                <w:szCs w:val="19"/>
              </w:rPr>
              <w:t xml:space="preserve">Repository volume is not the claim. The claim is architectural range, repeated delivery, and visible ownership across AI, data, cloud, product, and domain systems.</w:t>
            </w:r>
          </w:p>
        </w:tc>
      </w:tr>
    </w:tbl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PORTFOLIO MAP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tabx-platform — 126 commits, 500 tracked files; C#, SQL, React/TSX, Python, TypeScript.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DozierTechOperatorBot — 128 commits, 347 files; 204 Python files, 29 TSX files, SQL migrations, and production synchronization.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dtg-operator-mcp — 92 commits, 161 files; 110 TypeScript files and 30 technical Markdown documents.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RoyalTech + frontend — 86 combined commits; .NET processing services and React workflow UI.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dtg-platform — TypeScript/Python/Bicep monorepo for shared platform, tenancy, auth, gateway, and infrastructure work.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EVALUATION LENS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Look for system boundaries and decision records, not only feature code.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Look for tests around failure modes, confidence gates, authorization, and document parsing.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Look for progression from prototype to durable operational workflow.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TABX PLATFORM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Repository Deep Dive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Human-governed AI resolution across a heterogeneous production stack.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WHAT TO INSPECT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Resolution pipeline boundaries between deterministic evidence, retrieval, embeddings, model verification, and human review.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SQL assets and domain models that make data lineage and review state durable.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React review workflows that expose uncertainty to operators.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Cross-language contracts among C#, Python, TypeScript, and SQL.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INTERVIEW PROMPTS THIS REPOSITORY SUPPORTS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How do you choose where a model belongs in a data-quality pipeline?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How do you calibrate confidence and route uncertain cases?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How do you preserve auditability when AI participates in a decision?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How do you coordinate architecture across multiple languages and repositories?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DTG OPERATOR MCP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Repository Deep Dive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Agent infrastructure grounded in typed tools and organizational context.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WHAT TO INSPECT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Typed tool definitions and schema validation.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Integration boundaries for GitHub, Linear, Microsoft 365, Drive, storage, transcription, and business systems.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Institutional-memory and graph-context patterns.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Design documentation explaining why tools exist and how agents should use them.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STAFF-LEVEL SIGNAL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The repository shows a platform instinct: solving repeated integration and context problems once, behind governed interfaces, so downstream workflows become simpler and more reliable.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OPPORTUNITY INTELLIGENCE ENGINE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Repository Deep Dive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From multi-source ingestion to ranked, actionable opportunity workflows.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WHAT TO INSPECT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Source-specific discovery clients and normalization.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Qualification, scoring, and proposal workflow boundaries.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Operational handling for stale data, authentication walls, malformed upstream responses, and source drift.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Supabase synchronization supporting app.doziertechgroup.com.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PRODUCTION EVIDENCE</w:t>
      </w:r>
    </w:p>
    <w:p>
      <w:pPr>
        <w:spacing w:after="115" w:before="0" w:line="260"/>
      </w:pPr>
      <w:r>
        <w:rPr>
          <w:rFonts w:ascii="Aptos" w:cs="Aptos" w:eastAsia="Aptos" w:hAnsi="Aptos"/>
          <w:color w:val="1E232B"/>
          <w:sz w:val="20"/>
          <w:szCs w:val="20"/>
        </w:rPr>
        <w:t xml:space="preserve">The documented production dataset aggregates 933 opportunities across federal, state, transportation, and health sources. The repository has 128 commits and 347 tracked files, with 204 Python sources.</w:t>
      </w:r>
    </w:p>
    <w:p>
      <w:r>
        <w:br w:type="pag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0"/>
      </w:tblGrid>
      <w:tr>
        <w:trPr>
          <w:cantSplit/>
        </w:trPr>
        <w:tc>
          <w:tcPr>
            <w:tcW w:type="dxa" w:w="10560"/>
            <w:tcBorders>
              <w:top w:val="none"/>
              <w:left w:val="none"/>
              <w:bottom w:val="none"/>
              <w:right w:val="none"/>
            </w:tcBorders>
            <w:shd w:fill="0D1B3D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5" w:before="0" w:line="260"/>
              <w:jc w:val="center"/>
            </w:pPr>
            <w:r>
              <w:drawing>
                <wp:inline distT="0" distB="0" distL="0" distR="0">
                  <wp:extent cx="1952625" cy="542925"/>
                  <wp:effectExtent t="0" r="0" b="0" l="0"/>
                  <wp:docPr id="1" name="DTG" descr="DTG logo" title="Dozier Tech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A8DDE5"/>
                <w:spacing w:val="85"/>
                <w:sz w:val="14"/>
                <w:szCs w:val="14"/>
              </w:rPr>
              <w:t xml:space="preserve">ROYAL + DTG PLATFORM</w:t>
            </w:r>
          </w:p>
          <w:p>
            <w:pPr>
              <w:spacing w:after="0" w:before="0" w:line="260"/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pacing w:val="65"/>
                <w:sz w:val="29"/>
                <w:szCs w:val="29"/>
              </w:rPr>
              <w:t xml:space="preserve">GRANT DOZIER</w:t>
            </w:r>
          </w:p>
        </w:tc>
      </w:tr>
    </w:tbl>
    <w:p>
      <w:pPr>
        <w:spacing w:after="110" w:before="350" w:line="400"/>
      </w:pPr>
      <w:r>
        <w:rPr>
          <w:rFonts w:ascii="Aptos" w:cs="Aptos" w:eastAsia="Aptos" w:hAnsi="Aptos"/>
          <w:b/>
          <w:bCs/>
          <w:color w:val="0D1B3D"/>
          <w:sz w:val="40"/>
          <w:szCs w:val="40"/>
        </w:rPr>
        <w:t xml:space="preserve">Repository Deep Dive</w:t>
      </w:r>
    </w:p>
    <w:p>
      <w:pPr>
        <w:spacing w:after="200" w:before="0" w:line="310"/>
      </w:pPr>
      <w:r>
        <w:rPr>
          <w:rFonts w:ascii="Aptos" w:cs="Aptos" w:eastAsia="Aptos" w:hAnsi="Aptos"/>
          <w:b/>
          <w:bCs/>
          <w:color w:val="146C94"/>
          <w:sz w:val="24"/>
          <w:szCs w:val="24"/>
        </w:rPr>
        <w:t xml:space="preserve">Domain-heavy automation and platform architecture.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ROYAL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PDF and PSO parsing with stage-count mismatches, optional naming prefixes, and day-zero synthesis edge cases.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Excel generation and chart workflows built around engineering calculations rather than generic document extraction.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DTG PLATFORM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Tenant and authorization packages, shared LLM infrastructure, MCP gateway work, and Azure Bicep deployment assets.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Evidence of security review: fail-closed authentication, cross-tenant checks, scope handling, and documented cutover risks.</w:t>
      </w:r>
    </w:p>
    <w:p>
      <w:pPr>
        <w:keepNext/>
        <w:pBdr>
          <w:bottom w:val="single" w:color="21A5B8" w:sz="10"/>
        </w:pBdr>
        <w:spacing w:after="85" w:before="190"/>
      </w:pPr>
      <w:r>
        <w:rPr>
          <w:rFonts w:ascii="Aptos" w:cs="Aptos" w:eastAsia="Aptos" w:hAnsi="Aptos"/>
          <w:b/>
          <w:bCs/>
          <w:color w:val="0D1B3D"/>
          <w:spacing w:val="75"/>
          <w:sz w:val="22"/>
          <w:szCs w:val="22"/>
        </w:rPr>
        <w:t xml:space="preserve">RECOMMENDED PUBLIC IMPROVEMENTS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Pin six repositories in a deliberate order matching the portfolio narrative.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Add a one-screen README to every pinned repository: problem, architecture, evidence, screenshots, run instructions, and “what I personally owned.”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Publish sanitized architecture diagrams and short technical essays for ATHENA governance, TabX resolution, and MCP tool design.</w:t>
      </w:r>
    </w:p>
    <w:p>
      <w:pPr>
        <w:pStyle w:val="ListParagraph"/>
        <w:numPr>
          <w:ilvl w:val="0"/>
          <w:numId w:val="2"/>
        </w:numPr>
        <w:spacing w:after="85" w:line="245"/>
      </w:pPr>
      <w:r>
        <w:rPr>
          <w:rFonts w:ascii="Aptos" w:cs="Aptos" w:eastAsia="Aptos" w:hAnsi="Aptos"/>
          <w:color w:val="1E232B"/>
          <w:sz w:val="19"/>
          <w:szCs w:val="19"/>
        </w:rPr>
        <w:t xml:space="preserve">Add releases, demo videos, and test/coverage badges only where they are honest and maintained.</w:t>
      </w:r>
    </w:p>
    <w:sectPr>
      <w:pgSz w:w="12240" w:h="15840" w:orient="portrait"/>
      <w:pgMar w:top="0" w:right="840" w:bottom="6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32B"/>
        <w:sz w:val="20"/>
        <w:szCs w:val="20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7ed14fe602cb47c2fb080e55e99ba95fc92ee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Evidence Brief</dc:title>
  <dc:creator>Grant Dozier</dc:creator>
  <dc:description>Dozier Tech Group executive candidate package</dc:description>
  <cp:lastModifiedBy>Un-named</cp:lastModifiedBy>
  <cp:revision>1</cp:revision>
  <dcterms:created xsi:type="dcterms:W3CDTF">2026-07-15T02:06:56.319Z</dcterms:created>
  <dcterms:modified xsi:type="dcterms:W3CDTF">2026-07-15T02:06:56.319Z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