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0560"/>
      </w:tblGrid>
      <w:tr>
        <w:trPr>
          <w:cantSplit/>
        </w:trPr>
        <w:tc>
          <w:tcPr>
            <w:tcW w:type="dxa" w:w="10560"/>
            <w:tcBorders>
              <w:top w:val="none"/>
              <w:left w:val="none"/>
              <w:bottom w:val="none"/>
              <w:right w:val="none"/>
            </w:tcBorders>
            <w:shd w:fill="0D1B3D" w:val="clear"/>
            <w:tcMar>
              <w:top w:type="dxa" w:w="150"/>
              <w:left w:type="dxa" w:w="180"/>
              <w:bottom w:type="dxa" w:w="150"/>
              <w:right w:type="dxa" w:w="180"/>
            </w:tcMar>
            <w:vAlign w:val="center"/>
          </w:tcPr>
          <w:p>
            <w:pPr>
              <w:spacing w:after="45" w:before="0" w:line="260"/>
              <w:jc w:val="center"/>
            </w:pPr>
            <w:r>
              <w:drawing>
                <wp:inline distT="0" distB="0" distL="0" distR="0">
                  <wp:extent cx="1952625" cy="542925"/>
                  <wp:effectExtent t="0" r="0" b="0" l="0"/>
                  <wp:docPr id="1" name="DTG" descr="DTG logo" title="Dozier Te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42925"/>
                          </a:xfrm>
                          <a:prstGeom prst="rect">
                            <a:avLst/>
                          </a:prstGeom>
                        </pic:spPr>
                      </pic:pic>
                    </a:graphicData>
                  </a:graphic>
                </wp:inline>
              </w:drawing>
            </w:r>
          </w:p>
          <w:p>
            <w:pPr>
              <w:spacing w:after="22" w:before="0" w:line="260"/>
              <w:jc w:val="center"/>
            </w:pPr>
            <w:r>
              <w:rPr>
                <w:rFonts w:ascii="Aptos" w:cs="Aptos" w:eastAsia="Aptos" w:hAnsi="Aptos"/>
                <w:b/>
                <w:bCs/>
                <w:color w:val="A8DDE5"/>
                <w:spacing w:val="85"/>
                <w:sz w:val="14"/>
                <w:szCs w:val="14"/>
              </w:rPr>
              <w:t xml:space="preserve">APPLIED AI · PLATFORMS · TECHNICAL LEADERSHIP</w:t>
            </w:r>
          </w:p>
          <w:p>
            <w:pPr>
              <w:spacing w:after="0" w:before="0" w:line="260"/>
              <w:jc w:val="center"/>
            </w:pPr>
            <w:r>
              <w:rPr>
                <w:rFonts w:ascii="Aptos" w:cs="Aptos" w:eastAsia="Aptos" w:hAnsi="Aptos"/>
                <w:b/>
                <w:bCs/>
                <w:color w:val="FFFFFF"/>
                <w:spacing w:val="65"/>
                <w:sz w:val="29"/>
                <w:szCs w:val="29"/>
              </w:rPr>
              <w:t xml:space="preserve">GRANT DOZIER</w:t>
            </w:r>
          </w:p>
        </w:tc>
      </w:tr>
    </w:tbl>
    <w:p>
      <w:pPr>
        <w:spacing w:after="110" w:before="350" w:line="400"/>
      </w:pPr>
      <w:r>
        <w:rPr>
          <w:rFonts w:ascii="Aptos" w:cs="Aptos" w:eastAsia="Aptos" w:hAnsi="Aptos"/>
          <w:b/>
          <w:bCs/>
          <w:color w:val="0D1B3D"/>
          <w:sz w:val="40"/>
          <w:szCs w:val="40"/>
        </w:rPr>
        <w:t xml:space="preserve">Executive Technical Portfolio</w:t>
      </w:r>
    </w:p>
    <w:p>
      <w:pPr>
        <w:spacing w:after="200" w:before="0" w:line="310"/>
      </w:pPr>
      <w:r>
        <w:rPr>
          <w:rFonts w:ascii="Aptos" w:cs="Aptos" w:eastAsia="Aptos" w:hAnsi="Aptos"/>
          <w:b/>
          <w:bCs/>
          <w:color w:val="146C94"/>
          <w:sz w:val="24"/>
          <w:szCs w:val="24"/>
        </w:rPr>
        <w:t xml:space="preserve">A concise evidence dossier for Staff+ engineering and senior AI leadership roles.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100"/>
        <w:gridCol w:w="8460"/>
      </w:tblGrid>
      <w:tr>
        <w:trPr>
          <w:cantSplit/>
        </w:trPr>
        <w:tc>
          <w:tcPr>
            <w:tcW w:type="dxa" w:w="2100"/>
            <w:tcBorders>
              <w:top w:val="none"/>
              <w:left w:val="none"/>
              <w:bottom w:val="none"/>
              <w:right w:val="none"/>
            </w:tcBorders>
            <w:shd w:fill="146C94" w:val="clear"/>
            <w:tcMar>
              <w:top w:type="dxa" w:w="150"/>
              <w:left w:type="dxa" w:w="180"/>
              <w:bottom w:type="dxa" w:w="150"/>
              <w:right w:type="dxa" w:w="180"/>
            </w:tcMar>
            <w:vAlign w:val="center"/>
          </w:tcPr>
          <w:p>
            <w:pPr>
              <w:spacing w:after="0" w:before="0" w:line="260"/>
            </w:pPr>
            <w:r>
              <w:rPr>
                <w:rFonts w:ascii="Aptos" w:cs="Aptos" w:eastAsia="Aptos" w:hAnsi="Aptos"/>
                <w:b/>
                <w:bCs/>
                <w:color w:val="FFFFFF"/>
                <w:spacing w:val="65"/>
                <w:sz w:val="16"/>
                <w:szCs w:val="16"/>
              </w:rPr>
              <w:t xml:space="preserve">POSITIONING</w:t>
            </w:r>
          </w:p>
        </w:tc>
        <w:tc>
          <w:tcPr>
            <w:tcW w:type="dxa" w:w="8460"/>
            <w:tcBorders>
              <w:top w:val="none"/>
              <w:left w:val="none"/>
              <w:bottom w:val="none"/>
              <w:right w:val="none"/>
            </w:tcBorders>
            <w:shd w:fill="F7F8FA" w:val="clear"/>
            <w:tcMar>
              <w:top w:type="dxa" w:w="150"/>
              <w:left w:type="dxa" w:w="180"/>
              <w:bottom w:type="dxa" w:w="150"/>
              <w:right w:type="dxa" w:w="180"/>
            </w:tcMar>
            <w:vAlign w:val="center"/>
          </w:tcPr>
          <w:p>
            <w:pPr>
              <w:spacing w:after="0" w:before="0" w:line="260"/>
            </w:pPr>
            <w:r>
              <w:rPr>
                <w:rFonts w:ascii="Aptos" w:cs="Aptos" w:eastAsia="Aptos" w:hAnsi="Aptos"/>
                <w:b/>
                <w:bCs/>
                <w:color w:val="0D1B3D"/>
                <w:sz w:val="19"/>
                <w:szCs w:val="19"/>
              </w:rPr>
              <w:t xml:space="preserve">Founder-engineer who builds the systems between frontier models and real operations—then owns the architecture, delivery, governance, and business outcome.</w:t>
            </w:r>
          </w:p>
        </w:tc>
      </w:tr>
    </w:tbl>
    <w:p>
      <w:pPr>
        <w:keepNext/>
        <w:pBdr>
          <w:bottom w:val="single" w:color="21A5B8" w:sz="10"/>
        </w:pBdr>
        <w:spacing w:after="85" w:before="190"/>
      </w:pPr>
      <w:r>
        <w:rPr>
          <w:rFonts w:ascii="Aptos" w:cs="Aptos" w:eastAsia="Aptos" w:hAnsi="Aptos"/>
          <w:b/>
          <w:bCs/>
          <w:color w:val="0D1B3D"/>
          <w:spacing w:val="75"/>
          <w:sz w:val="22"/>
          <w:szCs w:val="22"/>
        </w:rPr>
        <w:t xml:space="preserve">EVIDENCE AT A GLANCE</w:t>
      </w:r>
    </w:p>
    <w:p>
      <w:pPr>
        <w:pStyle w:val="ListParagraph"/>
        <w:numPr>
          <w:ilvl w:val="0"/>
          <w:numId w:val="2"/>
        </w:numPr>
        <w:spacing w:after="85" w:line="245"/>
      </w:pPr>
      <w:r>
        <w:rPr>
          <w:rFonts w:ascii="Aptos" w:cs="Aptos" w:eastAsia="Aptos" w:hAnsi="Aptos"/>
          <w:color w:val="1E232B"/>
          <w:sz w:val="19"/>
          <w:szCs w:val="19"/>
        </w:rPr>
        <w:t xml:space="preserve">9+ years shipping software across applied AI, enterprise platforms, cloud migrations, government ERP, construction, civil engineering, and data-intensive products.</w:t>
      </w:r>
    </w:p>
    <w:p>
      <w:pPr>
        <w:pStyle w:val="ListParagraph"/>
        <w:numPr>
          <w:ilvl w:val="0"/>
          <w:numId w:val="2"/>
        </w:numPr>
        <w:spacing w:after="85" w:line="245"/>
      </w:pPr>
      <w:r>
        <w:rPr>
          <w:rFonts w:ascii="Aptos" w:cs="Aptos" w:eastAsia="Aptos" w:hAnsi="Aptos"/>
          <w:color w:val="1E232B"/>
          <w:sz w:val="19"/>
          <w:szCs w:val="19"/>
        </w:rPr>
        <w:t xml:space="preserve">~22.5M POS units in an AI-assisted entity-resolution system using deterministic matching, embeddings, model verification, confidence gates, and human review.</w:t>
      </w:r>
    </w:p>
    <w:p>
      <w:pPr>
        <w:pStyle w:val="ListParagraph"/>
        <w:numPr>
          <w:ilvl w:val="0"/>
          <w:numId w:val="2"/>
        </w:numPr>
        <w:spacing w:after="85" w:line="245"/>
      </w:pPr>
      <w:r>
        <w:rPr>
          <w:rFonts w:ascii="Aptos" w:cs="Aptos" w:eastAsia="Aptos" w:hAnsi="Aptos"/>
          <w:color w:val="1E232B"/>
          <w:sz w:val="19"/>
          <w:szCs w:val="19"/>
        </w:rPr>
        <w:t xml:space="preserve">933 funding and procurement opportunities aggregated by an autonomous discovery, qualification, and proposal platform.</w:t>
      </w:r>
    </w:p>
    <w:p>
      <w:pPr>
        <w:pStyle w:val="ListParagraph"/>
        <w:numPr>
          <w:ilvl w:val="0"/>
          <w:numId w:val="2"/>
        </w:numPr>
        <w:spacing w:after="85" w:line="245"/>
      </w:pPr>
      <w:r>
        <w:rPr>
          <w:rFonts w:ascii="Aptos" w:cs="Aptos" w:eastAsia="Aptos" w:hAnsi="Aptos"/>
          <w:color w:val="1E232B"/>
          <w:sz w:val="19"/>
          <w:szCs w:val="19"/>
        </w:rPr>
        <w:t xml:space="preserve">300 engineering model outputs processed per upload; a multi-week settlement-analysis workflow reduced to minutes with documented 95% cycle-time improvement.</w:t>
      </w:r>
    </w:p>
    <w:p>
      <w:pPr>
        <w:pStyle w:val="ListParagraph"/>
        <w:numPr>
          <w:ilvl w:val="0"/>
          <w:numId w:val="2"/>
        </w:numPr>
        <w:spacing w:after="85" w:line="245"/>
      </w:pPr>
      <w:r>
        <w:rPr>
          <w:rFonts w:ascii="Aptos" w:cs="Aptos" w:eastAsia="Aptos" w:hAnsi="Aptos"/>
          <w:color w:val="1E232B"/>
          <w:sz w:val="19"/>
          <w:szCs w:val="19"/>
        </w:rPr>
        <w:t xml:space="preserve">MCP operating layer connecting GitHub, Linear, Microsoft 365, Google Drive, Cloudflare R2, transcription, billing, and institutional memory.</w:t>
      </w:r>
    </w:p>
    <w:p>
      <w:pPr>
        <w:keepNext/>
        <w:pBdr>
          <w:bottom w:val="single" w:color="21A5B8" w:sz="10"/>
        </w:pBdr>
        <w:spacing w:after="85" w:before="190"/>
      </w:pPr>
      <w:r>
        <w:rPr>
          <w:rFonts w:ascii="Aptos" w:cs="Aptos" w:eastAsia="Aptos" w:hAnsi="Aptos"/>
          <w:b/>
          <w:bCs/>
          <w:color w:val="0D1B3D"/>
          <w:spacing w:val="75"/>
          <w:sz w:val="22"/>
          <w:szCs w:val="22"/>
        </w:rPr>
        <w:t xml:space="preserve">WHAT DIFFERENTIATES THE CANDIDACY</w:t>
      </w:r>
    </w:p>
    <w:p>
      <w:pPr>
        <w:pStyle w:val="ListParagraph"/>
        <w:numPr>
          <w:ilvl w:val="0"/>
          <w:numId w:val="2"/>
        </w:numPr>
        <w:spacing w:after="85" w:line="245"/>
      </w:pPr>
      <w:r>
        <w:rPr>
          <w:rFonts w:ascii="Aptos" w:cs="Aptos" w:eastAsia="Aptos" w:hAnsi="Aptos"/>
          <w:color w:val="1E232B"/>
          <w:sz w:val="19"/>
          <w:szCs w:val="19"/>
        </w:rPr>
        <w:t xml:space="preserve">Full-stack AI systems judgment: models are one component inside data, retrieval, tool, evaluation, security, and human-decision architectures.</w:t>
      </w:r>
    </w:p>
    <w:p>
      <w:pPr>
        <w:pStyle w:val="ListParagraph"/>
        <w:numPr>
          <w:ilvl w:val="0"/>
          <w:numId w:val="2"/>
        </w:numPr>
        <w:spacing w:after="85" w:line="245"/>
      </w:pPr>
      <w:r>
        <w:rPr>
          <w:rFonts w:ascii="Aptos" w:cs="Aptos" w:eastAsia="Aptos" w:hAnsi="Aptos"/>
          <w:color w:val="1E232B"/>
          <w:sz w:val="19"/>
          <w:szCs w:val="19"/>
        </w:rPr>
        <w:t xml:space="preserve">Founder-level ambiguity tolerance: can discover the real problem, set direction, scope the work, build the system, and defend the result to customers and executives.</w:t>
      </w:r>
    </w:p>
    <w:p>
      <w:pPr>
        <w:pStyle w:val="ListParagraph"/>
        <w:numPr>
          <w:ilvl w:val="0"/>
          <w:numId w:val="2"/>
        </w:numPr>
        <w:spacing w:after="85" w:line="245"/>
      </w:pPr>
      <w:r>
        <w:rPr>
          <w:rFonts w:ascii="Aptos" w:cs="Aptos" w:eastAsia="Aptos" w:hAnsi="Aptos"/>
          <w:color w:val="1E232B"/>
          <w:sz w:val="19"/>
          <w:szCs w:val="19"/>
        </w:rPr>
        <w:t xml:space="preserve">Governance by architecture: provenance, bi-temporal rules, counter-evidence, visible uncertainty, human override, and auditability are designed into the system.</w:t>
      </w:r>
    </w:p>
    <w:p>
      <w:r>
        <w:br w:type="pag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0560"/>
      </w:tblGrid>
      <w:tr>
        <w:trPr>
          <w:cantSplit/>
        </w:trPr>
        <w:tc>
          <w:tcPr>
            <w:tcW w:type="dxa" w:w="10560"/>
            <w:tcBorders>
              <w:top w:val="none"/>
              <w:left w:val="none"/>
              <w:bottom w:val="none"/>
              <w:right w:val="none"/>
            </w:tcBorders>
            <w:shd w:fill="0D1B3D" w:val="clear"/>
            <w:tcMar>
              <w:top w:type="dxa" w:w="150"/>
              <w:left w:type="dxa" w:w="180"/>
              <w:bottom w:type="dxa" w:w="150"/>
              <w:right w:type="dxa" w:w="180"/>
            </w:tcMar>
            <w:vAlign w:val="center"/>
          </w:tcPr>
          <w:p>
            <w:pPr>
              <w:spacing w:after="45" w:before="0" w:line="260"/>
              <w:jc w:val="center"/>
            </w:pPr>
            <w:r>
              <w:drawing>
                <wp:inline distT="0" distB="0" distL="0" distR="0">
                  <wp:extent cx="1952625" cy="542925"/>
                  <wp:effectExtent t="0" r="0" b="0" l="0"/>
                  <wp:docPr id="1" name="DTG" descr="DTG logo" title="Dozier Te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42925"/>
                          </a:xfrm>
                          <a:prstGeom prst="rect">
                            <a:avLst/>
                          </a:prstGeom>
                        </pic:spPr>
                      </pic:pic>
                    </a:graphicData>
                  </a:graphic>
                </wp:inline>
              </w:drawing>
            </w:r>
          </w:p>
          <w:p>
            <w:pPr>
              <w:spacing w:after="22" w:before="0" w:line="260"/>
              <w:jc w:val="center"/>
            </w:pPr>
            <w:r>
              <w:rPr>
                <w:rFonts w:ascii="Aptos" w:cs="Aptos" w:eastAsia="Aptos" w:hAnsi="Aptos"/>
                <w:b/>
                <w:bCs/>
                <w:color w:val="A8DDE5"/>
                <w:spacing w:val="85"/>
                <w:sz w:val="14"/>
                <w:szCs w:val="14"/>
              </w:rPr>
              <w:t xml:space="preserve">01 · ATHENA + HERMES</w:t>
            </w:r>
          </w:p>
          <w:p>
            <w:pPr>
              <w:spacing w:after="0" w:before="0" w:line="260"/>
              <w:jc w:val="center"/>
            </w:pPr>
            <w:r>
              <w:rPr>
                <w:rFonts w:ascii="Aptos" w:cs="Aptos" w:eastAsia="Aptos" w:hAnsi="Aptos"/>
                <w:b/>
                <w:bCs/>
                <w:color w:val="FFFFFF"/>
                <w:spacing w:val="65"/>
                <w:sz w:val="29"/>
                <w:szCs w:val="29"/>
              </w:rPr>
              <w:t xml:space="preserve">GRANT DOZIER</w:t>
            </w:r>
          </w:p>
        </w:tc>
      </w:tr>
    </w:tbl>
    <w:p>
      <w:pPr>
        <w:spacing w:after="110" w:before="350" w:line="400"/>
      </w:pPr>
      <w:r>
        <w:rPr>
          <w:rFonts w:ascii="Aptos" w:cs="Aptos" w:eastAsia="Aptos" w:hAnsi="Aptos"/>
          <w:b/>
          <w:bCs/>
          <w:color w:val="0D1B3D"/>
          <w:sz w:val="40"/>
          <w:szCs w:val="40"/>
        </w:rPr>
        <w:t xml:space="preserve">Flagship Systems</w:t>
      </w:r>
    </w:p>
    <w:p>
      <w:pPr>
        <w:spacing w:after="200" w:before="0" w:line="310"/>
      </w:pPr>
      <w:r>
        <w:rPr>
          <w:rFonts w:ascii="Aptos" w:cs="Aptos" w:eastAsia="Aptos" w:hAnsi="Aptos"/>
          <w:b/>
          <w:bCs/>
          <w:color w:val="146C94"/>
          <w:sz w:val="24"/>
          <w:szCs w:val="24"/>
        </w:rPr>
        <w:t xml:space="preserve">Governed institutional intelligence for decisions with real human consequences.</w:t>
      </w:r>
    </w:p>
    <w:p>
      <w:pPr>
        <w:keepNext/>
        <w:pBdr>
          <w:bottom w:val="single" w:color="21A5B8" w:sz="10"/>
        </w:pBdr>
        <w:spacing w:after="85" w:before="190"/>
      </w:pPr>
      <w:r>
        <w:rPr>
          <w:rFonts w:ascii="Aptos" w:cs="Aptos" w:eastAsia="Aptos" w:hAnsi="Aptos"/>
          <w:b/>
          <w:bCs/>
          <w:color w:val="0D1B3D"/>
          <w:spacing w:val="75"/>
          <w:sz w:val="22"/>
          <w:szCs w:val="22"/>
        </w:rPr>
        <w:t xml:space="preserve">THE PROBLEM</w:t>
      </w:r>
    </w:p>
    <w:p>
      <w:pPr>
        <w:spacing w:after="115" w:before="0" w:line="260"/>
      </w:pPr>
      <w:r>
        <w:rPr>
          <w:rFonts w:ascii="Aptos" w:cs="Aptos" w:eastAsia="Aptos" w:hAnsi="Aptos"/>
          <w:color w:val="1E232B"/>
          <w:sz w:val="20"/>
          <w:szCs w:val="20"/>
        </w:rPr>
        <w:t xml:space="preserve">Organizations already possess data, systems, and domain experts, but decisions still require people to reconstruct context manually across fragmented records. Conventional dashboards add visibility without creating a trustworthy decision surface.</w:t>
      </w:r>
    </w:p>
    <w:p>
      <w:pPr>
        <w:keepNext/>
        <w:pBdr>
          <w:bottom w:val="single" w:color="21A5B8" w:sz="10"/>
        </w:pBdr>
        <w:spacing w:after="85" w:before="190"/>
      </w:pPr>
      <w:r>
        <w:rPr>
          <w:rFonts w:ascii="Aptos" w:cs="Aptos" w:eastAsia="Aptos" w:hAnsi="Aptos"/>
          <w:b/>
          <w:bCs/>
          <w:color w:val="0D1B3D"/>
          <w:spacing w:val="75"/>
          <w:sz w:val="22"/>
          <w:szCs w:val="22"/>
        </w:rPr>
        <w:t xml:space="preserve">THE ARCHITECTURE</w:t>
      </w:r>
    </w:p>
    <w:p>
      <w:pPr>
        <w:pStyle w:val="ListParagraph"/>
        <w:numPr>
          <w:ilvl w:val="0"/>
          <w:numId w:val="2"/>
        </w:numPr>
        <w:spacing w:after="85" w:line="245"/>
      </w:pPr>
      <w:r>
        <w:rPr>
          <w:rFonts w:ascii="Aptos" w:cs="Aptos" w:eastAsia="Aptos" w:hAnsi="Aptos"/>
          <w:color w:val="1E232B"/>
          <w:sz w:val="19"/>
          <w:szCs w:val="19"/>
        </w:rPr>
        <w:t xml:space="preserve">A bi-temporal ontology preserves what was known, when it was known, and which rule version governed a conclusion.</w:t>
      </w:r>
    </w:p>
    <w:p>
      <w:pPr>
        <w:pStyle w:val="ListParagraph"/>
        <w:numPr>
          <w:ilvl w:val="0"/>
          <w:numId w:val="2"/>
        </w:numPr>
        <w:spacing w:after="85" w:line="245"/>
      </w:pPr>
      <w:r>
        <w:rPr>
          <w:rFonts w:ascii="Aptos" w:cs="Aptos" w:eastAsia="Aptos" w:hAnsi="Aptos"/>
          <w:color w:val="1E232B"/>
          <w:sz w:val="19"/>
          <w:szCs w:val="19"/>
        </w:rPr>
        <w:t xml:space="preserve">Risk is represented as a sourced reason path rather than a scalar score; counter-evidence and missing coverage remain visible.</w:t>
      </w:r>
    </w:p>
    <w:p>
      <w:pPr>
        <w:pStyle w:val="ListParagraph"/>
        <w:numPr>
          <w:ilvl w:val="0"/>
          <w:numId w:val="2"/>
        </w:numPr>
        <w:spacing w:after="85" w:line="245"/>
      </w:pPr>
      <w:r>
        <w:rPr>
          <w:rFonts w:ascii="Aptos" w:cs="Aptos" w:eastAsia="Aptos" w:hAnsi="Aptos"/>
          <w:color w:val="1E232B"/>
          <w:sz w:val="19"/>
          <w:szCs w:val="19"/>
        </w:rPr>
        <w:t xml:space="preserve">Role-calibrated surfaces transform the same evidence for students, advisors, department leaders, and executives without changing the underlying truth.</w:t>
      </w:r>
    </w:p>
    <w:p>
      <w:pPr>
        <w:pStyle w:val="ListParagraph"/>
        <w:numPr>
          <w:ilvl w:val="0"/>
          <w:numId w:val="2"/>
        </w:numPr>
        <w:spacing w:after="85" w:line="245"/>
      </w:pPr>
      <w:r>
        <w:rPr>
          <w:rFonts w:ascii="Aptos" w:cs="Aptos" w:eastAsia="Aptos" w:hAnsi="Aptos"/>
          <w:color w:val="1E232B"/>
          <w:sz w:val="19"/>
          <w:szCs w:val="19"/>
        </w:rPr>
        <w:t xml:space="preserve">The system stops at the decision surface. Irreversible actions require a named human, a reason-carrying override, and an auditable trail.</w:t>
      </w:r>
    </w:p>
    <w:p>
      <w:pPr>
        <w:keepNext/>
        <w:pBdr>
          <w:bottom w:val="single" w:color="21A5B8" w:sz="10"/>
        </w:pBdr>
        <w:spacing w:after="85" w:before="190"/>
      </w:pPr>
      <w:r>
        <w:rPr>
          <w:rFonts w:ascii="Aptos" w:cs="Aptos" w:eastAsia="Aptos" w:hAnsi="Aptos"/>
          <w:b/>
          <w:bCs/>
          <w:color w:val="0D1B3D"/>
          <w:spacing w:val="75"/>
          <w:sz w:val="22"/>
          <w:szCs w:val="22"/>
        </w:rPr>
        <w:t xml:space="preserve">WHY IT MATTERS</w:t>
      </w:r>
    </w:p>
    <w:p>
      <w:pPr>
        <w:spacing w:after="115" w:before="0" w:line="260"/>
      </w:pPr>
      <w:r>
        <w:rPr>
          <w:rFonts w:ascii="Aptos" w:cs="Aptos" w:eastAsia="Aptos" w:hAnsi="Aptos"/>
          <w:color w:val="1E232B"/>
          <w:sz w:val="20"/>
          <w:szCs w:val="20"/>
        </w:rPr>
        <w:t xml:space="preserve">This is applied AI governance expressed as system shape, not policy prose. It demonstrates ontology design, explainable inference, human-computer interaction, institutional product thinking, and disciplined restraint.</w:t>
      </w:r>
    </w:p>
    <w:p>
      <w:r>
        <w:br w:type="pag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0560"/>
      </w:tblGrid>
      <w:tr>
        <w:trPr>
          <w:cantSplit/>
        </w:trPr>
        <w:tc>
          <w:tcPr>
            <w:tcW w:type="dxa" w:w="10560"/>
            <w:tcBorders>
              <w:top w:val="none"/>
              <w:left w:val="none"/>
              <w:bottom w:val="none"/>
              <w:right w:val="none"/>
            </w:tcBorders>
            <w:shd w:fill="0D1B3D" w:val="clear"/>
            <w:tcMar>
              <w:top w:type="dxa" w:w="150"/>
              <w:left w:type="dxa" w:w="180"/>
              <w:bottom w:type="dxa" w:w="150"/>
              <w:right w:type="dxa" w:w="180"/>
            </w:tcMar>
            <w:vAlign w:val="center"/>
          </w:tcPr>
          <w:p>
            <w:pPr>
              <w:spacing w:after="45" w:before="0" w:line="260"/>
              <w:jc w:val="center"/>
            </w:pPr>
            <w:r>
              <w:drawing>
                <wp:inline distT="0" distB="0" distL="0" distR="0">
                  <wp:extent cx="1952625" cy="542925"/>
                  <wp:effectExtent t="0" r="0" b="0" l="0"/>
                  <wp:docPr id="1" name="DTG" descr="DTG logo" title="Dozier Te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42925"/>
                          </a:xfrm>
                          <a:prstGeom prst="rect">
                            <a:avLst/>
                          </a:prstGeom>
                        </pic:spPr>
                      </pic:pic>
                    </a:graphicData>
                  </a:graphic>
                </wp:inline>
              </w:drawing>
            </w:r>
          </w:p>
          <w:p>
            <w:pPr>
              <w:spacing w:after="22" w:before="0" w:line="260"/>
              <w:jc w:val="center"/>
            </w:pPr>
            <w:r>
              <w:rPr>
                <w:rFonts w:ascii="Aptos" w:cs="Aptos" w:eastAsia="Aptos" w:hAnsi="Aptos"/>
                <w:b/>
                <w:bCs/>
                <w:color w:val="A8DDE5"/>
                <w:spacing w:val="85"/>
                <w:sz w:val="14"/>
                <w:szCs w:val="14"/>
              </w:rPr>
              <w:t xml:space="preserve">02 · TABX RESOLUTION PLATFORM</w:t>
            </w:r>
          </w:p>
          <w:p>
            <w:pPr>
              <w:spacing w:after="0" w:before="0" w:line="260"/>
              <w:jc w:val="center"/>
            </w:pPr>
            <w:r>
              <w:rPr>
                <w:rFonts w:ascii="Aptos" w:cs="Aptos" w:eastAsia="Aptos" w:hAnsi="Aptos"/>
                <w:b/>
                <w:bCs/>
                <w:color w:val="FFFFFF"/>
                <w:spacing w:val="65"/>
                <w:sz w:val="29"/>
                <w:szCs w:val="29"/>
              </w:rPr>
              <w:t xml:space="preserve">GRANT DOZIER</w:t>
            </w:r>
          </w:p>
        </w:tc>
      </w:tr>
    </w:tbl>
    <w:p>
      <w:pPr>
        <w:spacing w:after="110" w:before="350" w:line="400"/>
      </w:pPr>
      <w:r>
        <w:rPr>
          <w:rFonts w:ascii="Aptos" w:cs="Aptos" w:eastAsia="Aptos" w:hAnsi="Aptos"/>
          <w:b/>
          <w:bCs/>
          <w:color w:val="0D1B3D"/>
          <w:sz w:val="40"/>
          <w:szCs w:val="40"/>
        </w:rPr>
        <w:t xml:space="preserve">Flagship Systems</w:t>
      </w:r>
    </w:p>
    <w:p>
      <w:pPr>
        <w:spacing w:after="200" w:before="0" w:line="310"/>
      </w:pPr>
      <w:r>
        <w:rPr>
          <w:rFonts w:ascii="Aptos" w:cs="Aptos" w:eastAsia="Aptos" w:hAnsi="Aptos"/>
          <w:b/>
          <w:bCs/>
          <w:color w:val="146C94"/>
          <w:sz w:val="24"/>
          <w:szCs w:val="24"/>
        </w:rPr>
        <w:t xml:space="preserve">AI-assisted data quality at ~22.5M-record scale.</w:t>
      </w:r>
    </w:p>
    <w:p>
      <w:pPr>
        <w:keepNext/>
        <w:pBdr>
          <w:bottom w:val="single" w:color="21A5B8" w:sz="10"/>
        </w:pBdr>
        <w:spacing w:after="85" w:before="190"/>
      </w:pPr>
      <w:r>
        <w:rPr>
          <w:rFonts w:ascii="Aptos" w:cs="Aptos" w:eastAsia="Aptos" w:hAnsi="Aptos"/>
          <w:b/>
          <w:bCs/>
          <w:color w:val="0D1B3D"/>
          <w:spacing w:val="75"/>
          <w:sz w:val="22"/>
          <w:szCs w:val="22"/>
        </w:rPr>
        <w:t xml:space="preserve">SYSTEM THESIS</w:t>
      </w:r>
    </w:p>
    <w:p>
      <w:pPr>
        <w:spacing w:after="115" w:before="0" w:line="260"/>
      </w:pPr>
      <w:r>
        <w:rPr>
          <w:rFonts w:ascii="Aptos" w:cs="Aptos" w:eastAsia="Aptos" w:hAnsi="Aptos"/>
          <w:color w:val="1E232B"/>
          <w:sz w:val="20"/>
          <w:szCs w:val="20"/>
        </w:rPr>
        <w:t xml:space="preserve">Entity resolution at this scale cannot be solved responsibly by sending every record to a model. The platform uses a staged resolution strategy: deterministic evidence first, retrieval and embeddings where ambiguity remains, model verification at bounded decision points, and human review for uncertain or consequential cases.</w:t>
      </w:r>
    </w:p>
    <w:p>
      <w:pPr>
        <w:keepNext/>
        <w:pBdr>
          <w:bottom w:val="single" w:color="21A5B8" w:sz="10"/>
        </w:pBdr>
        <w:spacing w:after="85" w:before="190"/>
      </w:pPr>
      <w:r>
        <w:rPr>
          <w:rFonts w:ascii="Aptos" w:cs="Aptos" w:eastAsia="Aptos" w:hAnsi="Aptos"/>
          <w:b/>
          <w:bCs/>
          <w:color w:val="0D1B3D"/>
          <w:spacing w:val="75"/>
          <w:sz w:val="22"/>
          <w:szCs w:val="22"/>
        </w:rPr>
        <w:t xml:space="preserve">ENGINEERING SCOPE</w:t>
      </w:r>
    </w:p>
    <w:p>
      <w:pPr>
        <w:pStyle w:val="ListParagraph"/>
        <w:numPr>
          <w:ilvl w:val="0"/>
          <w:numId w:val="2"/>
        </w:numPr>
        <w:spacing w:after="85" w:line="245"/>
      </w:pPr>
      <w:r>
        <w:rPr>
          <w:rFonts w:ascii="Aptos" w:cs="Aptos" w:eastAsia="Aptos" w:hAnsi="Aptos"/>
          <w:color w:val="1E232B"/>
          <w:sz w:val="19"/>
          <w:szCs w:val="19"/>
        </w:rPr>
        <w:t xml:space="preserve">.NET 9 and SQL Server services for durable domain and workflow logic.</w:t>
      </w:r>
    </w:p>
    <w:p>
      <w:pPr>
        <w:pStyle w:val="ListParagraph"/>
        <w:numPr>
          <w:ilvl w:val="0"/>
          <w:numId w:val="2"/>
        </w:numPr>
        <w:spacing w:after="85" w:line="245"/>
      </w:pPr>
      <w:r>
        <w:rPr>
          <w:rFonts w:ascii="Aptos" w:cs="Aptos" w:eastAsia="Aptos" w:hAnsi="Aptos"/>
          <w:color w:val="1E232B"/>
          <w:sz w:val="19"/>
          <w:szCs w:val="19"/>
        </w:rPr>
        <w:t xml:space="preserve">Python/FastAPI services for enrichment and AI-assisted resolution.</w:t>
      </w:r>
    </w:p>
    <w:p>
      <w:pPr>
        <w:pStyle w:val="ListParagraph"/>
        <w:numPr>
          <w:ilvl w:val="0"/>
          <w:numId w:val="2"/>
        </w:numPr>
        <w:spacing w:after="85" w:line="245"/>
      </w:pPr>
      <w:r>
        <w:rPr>
          <w:rFonts w:ascii="Aptos" w:cs="Aptos" w:eastAsia="Aptos" w:hAnsi="Aptos"/>
          <w:color w:val="1E232B"/>
          <w:sz w:val="19"/>
          <w:szCs w:val="19"/>
        </w:rPr>
        <w:t xml:space="preserve">React 19 user interfaces for review, operations, and analytics.</w:t>
      </w:r>
    </w:p>
    <w:p>
      <w:pPr>
        <w:pStyle w:val="ListParagraph"/>
        <w:numPr>
          <w:ilvl w:val="0"/>
          <w:numId w:val="2"/>
        </w:numPr>
        <w:spacing w:after="85" w:line="245"/>
      </w:pPr>
      <w:r>
        <w:rPr>
          <w:rFonts w:ascii="Aptos" w:cs="Aptos" w:eastAsia="Aptos" w:hAnsi="Aptos"/>
          <w:color w:val="1E232B"/>
          <w:sz w:val="19"/>
          <w:szCs w:val="19"/>
        </w:rPr>
        <w:t xml:space="preserve">MCP-based tool access, confidence thresholds, auditability, and production data workflows.</w:t>
      </w:r>
    </w:p>
    <w:p>
      <w:pPr>
        <w:keepNext/>
        <w:pBdr>
          <w:bottom w:val="single" w:color="21A5B8" w:sz="10"/>
        </w:pBdr>
        <w:spacing w:after="85" w:before="190"/>
      </w:pPr>
      <w:r>
        <w:rPr>
          <w:rFonts w:ascii="Aptos" w:cs="Aptos" w:eastAsia="Aptos" w:hAnsi="Aptos"/>
          <w:b/>
          <w:bCs/>
          <w:color w:val="0D1B3D"/>
          <w:spacing w:val="75"/>
          <w:sz w:val="22"/>
          <w:szCs w:val="22"/>
        </w:rPr>
        <w:t xml:space="preserve">LEADERSHIP SIGNAL</w:t>
      </w:r>
    </w:p>
    <w:p>
      <w:pPr>
        <w:spacing w:after="115" w:before="0" w:line="260"/>
      </w:pPr>
      <w:r>
        <w:rPr>
          <w:rFonts w:ascii="Aptos" w:cs="Aptos" w:eastAsia="Aptos" w:hAnsi="Aptos"/>
          <w:color w:val="1E232B"/>
          <w:sz w:val="20"/>
          <w:szCs w:val="20"/>
        </w:rPr>
        <w:t xml:space="preserve">The project demonstrates technical direction across 126 commits and 500 tracked files, with architecture spanning 101 C# files, 91 SQL assets, 77 TSX files, 47 Python files, and 28 TypeScript files.</w:t>
      </w:r>
    </w:p>
    <w:p>
      <w:r>
        <w:br w:type="pag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0560"/>
      </w:tblGrid>
      <w:tr>
        <w:trPr>
          <w:cantSplit/>
        </w:trPr>
        <w:tc>
          <w:tcPr>
            <w:tcW w:type="dxa" w:w="10560"/>
            <w:tcBorders>
              <w:top w:val="none"/>
              <w:left w:val="none"/>
              <w:bottom w:val="none"/>
              <w:right w:val="none"/>
            </w:tcBorders>
            <w:shd w:fill="0D1B3D" w:val="clear"/>
            <w:tcMar>
              <w:top w:type="dxa" w:w="150"/>
              <w:left w:type="dxa" w:w="180"/>
              <w:bottom w:type="dxa" w:w="150"/>
              <w:right w:type="dxa" w:w="180"/>
            </w:tcMar>
            <w:vAlign w:val="center"/>
          </w:tcPr>
          <w:p>
            <w:pPr>
              <w:spacing w:after="45" w:before="0" w:line="260"/>
              <w:jc w:val="center"/>
            </w:pPr>
            <w:r>
              <w:drawing>
                <wp:inline distT="0" distB="0" distL="0" distR="0">
                  <wp:extent cx="1952625" cy="542925"/>
                  <wp:effectExtent t="0" r="0" b="0" l="0"/>
                  <wp:docPr id="1" name="DTG" descr="DTG logo" title="Dozier Te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42925"/>
                          </a:xfrm>
                          <a:prstGeom prst="rect">
                            <a:avLst/>
                          </a:prstGeom>
                        </pic:spPr>
                      </pic:pic>
                    </a:graphicData>
                  </a:graphic>
                </wp:inline>
              </w:drawing>
            </w:r>
          </w:p>
          <w:p>
            <w:pPr>
              <w:spacing w:after="22" w:before="0" w:line="260"/>
              <w:jc w:val="center"/>
            </w:pPr>
            <w:r>
              <w:rPr>
                <w:rFonts w:ascii="Aptos" w:cs="Aptos" w:eastAsia="Aptos" w:hAnsi="Aptos"/>
                <w:b/>
                <w:bCs/>
                <w:color w:val="A8DDE5"/>
                <w:spacing w:val="85"/>
                <w:sz w:val="14"/>
                <w:szCs w:val="14"/>
              </w:rPr>
              <w:t xml:space="preserve">03 · AI OPERATING LAYER</w:t>
            </w:r>
          </w:p>
          <w:p>
            <w:pPr>
              <w:spacing w:after="0" w:before="0" w:line="260"/>
              <w:jc w:val="center"/>
            </w:pPr>
            <w:r>
              <w:rPr>
                <w:rFonts w:ascii="Aptos" w:cs="Aptos" w:eastAsia="Aptos" w:hAnsi="Aptos"/>
                <w:b/>
                <w:bCs/>
                <w:color w:val="FFFFFF"/>
                <w:spacing w:val="65"/>
                <w:sz w:val="29"/>
                <w:szCs w:val="29"/>
              </w:rPr>
              <w:t xml:space="preserve">GRANT DOZIER</w:t>
            </w:r>
          </w:p>
        </w:tc>
      </w:tr>
    </w:tbl>
    <w:p>
      <w:pPr>
        <w:spacing w:after="110" w:before="350" w:line="400"/>
      </w:pPr>
      <w:r>
        <w:rPr>
          <w:rFonts w:ascii="Aptos" w:cs="Aptos" w:eastAsia="Aptos" w:hAnsi="Aptos"/>
          <w:b/>
          <w:bCs/>
          <w:color w:val="0D1B3D"/>
          <w:sz w:val="40"/>
          <w:szCs w:val="40"/>
        </w:rPr>
        <w:t xml:space="preserve">Flagship Systems</w:t>
      </w:r>
    </w:p>
    <w:p>
      <w:pPr>
        <w:spacing w:after="200" w:before="0" w:line="310"/>
      </w:pPr>
      <w:r>
        <w:rPr>
          <w:rFonts w:ascii="Aptos" w:cs="Aptos" w:eastAsia="Aptos" w:hAnsi="Aptos"/>
          <w:b/>
          <w:bCs/>
          <w:color w:val="146C94"/>
          <w:sz w:val="24"/>
          <w:szCs w:val="24"/>
        </w:rPr>
        <w:t xml:space="preserve">A governed agent workspace across engineering and business operations.</w:t>
      </w:r>
    </w:p>
    <w:p>
      <w:pPr>
        <w:keepNext/>
        <w:pBdr>
          <w:bottom w:val="single" w:color="21A5B8" w:sz="10"/>
        </w:pBdr>
        <w:spacing w:after="85" w:before="190"/>
      </w:pPr>
      <w:r>
        <w:rPr>
          <w:rFonts w:ascii="Aptos" w:cs="Aptos" w:eastAsia="Aptos" w:hAnsi="Aptos"/>
          <w:b/>
          <w:bCs/>
          <w:color w:val="0D1B3D"/>
          <w:spacing w:val="75"/>
          <w:sz w:val="22"/>
          <w:szCs w:val="22"/>
        </w:rPr>
        <w:t xml:space="preserve">SYSTEM THESIS</w:t>
      </w:r>
    </w:p>
    <w:p>
      <w:pPr>
        <w:spacing w:after="115" w:before="0" w:line="260"/>
      </w:pPr>
      <w:r>
        <w:rPr>
          <w:rFonts w:ascii="Aptos" w:cs="Aptos" w:eastAsia="Aptos" w:hAnsi="Aptos"/>
          <w:color w:val="1E232B"/>
          <w:sz w:val="20"/>
          <w:szCs w:val="20"/>
        </w:rPr>
        <w:t xml:space="preserve">The leverage of AI agents depends on tool access, structured context, permissions, and memory. The operating layer turns fragmented services into typed, inspectable capabilities rather than relying on ad hoc browser automation or copy/paste context.</w:t>
      </w:r>
    </w:p>
    <w:p>
      <w:pPr>
        <w:keepNext/>
        <w:pBdr>
          <w:bottom w:val="single" w:color="21A5B8" w:sz="10"/>
        </w:pBdr>
        <w:spacing w:after="85" w:before="190"/>
      </w:pPr>
      <w:r>
        <w:rPr>
          <w:rFonts w:ascii="Aptos" w:cs="Aptos" w:eastAsia="Aptos" w:hAnsi="Aptos"/>
          <w:b/>
          <w:bCs/>
          <w:color w:val="0D1B3D"/>
          <w:spacing w:val="75"/>
          <w:sz w:val="22"/>
          <w:szCs w:val="22"/>
        </w:rPr>
        <w:t xml:space="preserve">EVIDENCE</w:t>
      </w:r>
    </w:p>
    <w:p>
      <w:pPr>
        <w:pStyle w:val="ListParagraph"/>
        <w:numPr>
          <w:ilvl w:val="0"/>
          <w:numId w:val="2"/>
        </w:numPr>
        <w:spacing w:after="85" w:line="245"/>
      </w:pPr>
      <w:r>
        <w:rPr>
          <w:rFonts w:ascii="Aptos" w:cs="Aptos" w:eastAsia="Aptos" w:hAnsi="Aptos"/>
          <w:color w:val="1E232B"/>
          <w:sz w:val="19"/>
          <w:szCs w:val="19"/>
        </w:rPr>
        <w:t xml:space="preserve">92 commits and 161 tracked files, including 110 TypeScript source files.</w:t>
      </w:r>
    </w:p>
    <w:p>
      <w:pPr>
        <w:pStyle w:val="ListParagraph"/>
        <w:numPr>
          <w:ilvl w:val="0"/>
          <w:numId w:val="2"/>
        </w:numPr>
        <w:spacing w:after="85" w:line="245"/>
      </w:pPr>
      <w:r>
        <w:rPr>
          <w:rFonts w:ascii="Aptos" w:cs="Aptos" w:eastAsia="Aptos" w:hAnsi="Aptos"/>
          <w:color w:val="1E232B"/>
          <w:sz w:val="19"/>
          <w:szCs w:val="19"/>
        </w:rPr>
        <w:t xml:space="preserve">Integrations across GitHub, Linear, Microsoft Graph, Google Drive, Cloudflare R2, transcription, billing, and institutional knowledge.</w:t>
      </w:r>
    </w:p>
    <w:p>
      <w:pPr>
        <w:pStyle w:val="ListParagraph"/>
        <w:numPr>
          <w:ilvl w:val="0"/>
          <w:numId w:val="2"/>
        </w:numPr>
        <w:spacing w:after="85" w:line="245"/>
      </w:pPr>
      <w:r>
        <w:rPr>
          <w:rFonts w:ascii="Aptos" w:cs="Aptos" w:eastAsia="Aptos" w:hAnsi="Aptos"/>
          <w:color w:val="1E232B"/>
          <w:sz w:val="19"/>
          <w:szCs w:val="19"/>
        </w:rPr>
        <w:t xml:space="preserve">Typed schemas and explicit tool boundaries that make agent actions more legible and governable.</w:t>
      </w:r>
    </w:p>
    <w:p>
      <w:pPr>
        <w:keepNext/>
        <w:pBdr>
          <w:bottom w:val="single" w:color="21A5B8" w:sz="10"/>
        </w:pBdr>
        <w:spacing w:after="85" w:before="190"/>
      </w:pPr>
      <w:r>
        <w:rPr>
          <w:rFonts w:ascii="Aptos" w:cs="Aptos" w:eastAsia="Aptos" w:hAnsi="Aptos"/>
          <w:b/>
          <w:bCs/>
          <w:color w:val="0D1B3D"/>
          <w:spacing w:val="75"/>
          <w:sz w:val="22"/>
          <w:szCs w:val="22"/>
        </w:rPr>
        <w:t xml:space="preserve">WHY IT MATTERS</w:t>
      </w:r>
    </w:p>
    <w:p>
      <w:pPr>
        <w:spacing w:after="115" w:before="0" w:line="260"/>
      </w:pPr>
      <w:r>
        <w:rPr>
          <w:rFonts w:ascii="Aptos" w:cs="Aptos" w:eastAsia="Aptos" w:hAnsi="Aptos"/>
          <w:color w:val="1E232B"/>
          <w:sz w:val="20"/>
          <w:szCs w:val="20"/>
        </w:rPr>
        <w:t xml:space="preserve">This is directly relevant to agent platforms, developer tooling, applied AI infrastructure, enterprise deployment, and the operational systems required to make models useful.</w:t>
      </w:r>
    </w:p>
    <w:p>
      <w:r>
        <w:br w:type="pag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0560"/>
      </w:tblGrid>
      <w:tr>
        <w:trPr>
          <w:cantSplit/>
        </w:trPr>
        <w:tc>
          <w:tcPr>
            <w:tcW w:type="dxa" w:w="10560"/>
            <w:tcBorders>
              <w:top w:val="none"/>
              <w:left w:val="none"/>
              <w:bottom w:val="none"/>
              <w:right w:val="none"/>
            </w:tcBorders>
            <w:shd w:fill="0D1B3D" w:val="clear"/>
            <w:tcMar>
              <w:top w:type="dxa" w:w="150"/>
              <w:left w:type="dxa" w:w="180"/>
              <w:bottom w:type="dxa" w:w="150"/>
              <w:right w:type="dxa" w:w="180"/>
            </w:tcMar>
            <w:vAlign w:val="center"/>
          </w:tcPr>
          <w:p>
            <w:pPr>
              <w:spacing w:after="45" w:before="0" w:line="260"/>
              <w:jc w:val="center"/>
            </w:pPr>
            <w:r>
              <w:drawing>
                <wp:inline distT="0" distB="0" distL="0" distR="0">
                  <wp:extent cx="1952625" cy="542925"/>
                  <wp:effectExtent t="0" r="0" b="0" l="0"/>
                  <wp:docPr id="1" name="DTG" descr="DTG logo" title="Dozier Te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42925"/>
                          </a:xfrm>
                          <a:prstGeom prst="rect">
                            <a:avLst/>
                          </a:prstGeom>
                        </pic:spPr>
                      </pic:pic>
                    </a:graphicData>
                  </a:graphic>
                </wp:inline>
              </w:drawing>
            </w:r>
          </w:p>
          <w:p>
            <w:pPr>
              <w:spacing w:after="22" w:before="0" w:line="260"/>
              <w:jc w:val="center"/>
            </w:pPr>
            <w:r>
              <w:rPr>
                <w:rFonts w:ascii="Aptos" w:cs="Aptos" w:eastAsia="Aptos" w:hAnsi="Aptos"/>
                <w:b/>
                <w:bCs/>
                <w:color w:val="A8DDE5"/>
                <w:spacing w:val="85"/>
                <w:sz w:val="14"/>
                <w:szCs w:val="14"/>
              </w:rPr>
              <w:t xml:space="preserve">04 · ROYAL + CONSTRUCTION + CIVIL</w:t>
            </w:r>
          </w:p>
          <w:p>
            <w:pPr>
              <w:spacing w:after="0" w:before="0" w:line="260"/>
              <w:jc w:val="center"/>
            </w:pPr>
            <w:r>
              <w:rPr>
                <w:rFonts w:ascii="Aptos" w:cs="Aptos" w:eastAsia="Aptos" w:hAnsi="Aptos"/>
                <w:b/>
                <w:bCs/>
                <w:color w:val="FFFFFF"/>
                <w:spacing w:val="65"/>
                <w:sz w:val="29"/>
                <w:szCs w:val="29"/>
              </w:rPr>
              <w:t xml:space="preserve">GRANT DOZIER</w:t>
            </w:r>
          </w:p>
        </w:tc>
      </w:tr>
    </w:tbl>
    <w:p>
      <w:pPr>
        <w:spacing w:after="110" w:before="350" w:line="400"/>
      </w:pPr>
      <w:r>
        <w:rPr>
          <w:rFonts w:ascii="Aptos" w:cs="Aptos" w:eastAsia="Aptos" w:hAnsi="Aptos"/>
          <w:b/>
          <w:bCs/>
          <w:color w:val="0D1B3D"/>
          <w:sz w:val="40"/>
          <w:szCs w:val="40"/>
        </w:rPr>
        <w:t xml:space="preserve">Business Outcomes</w:t>
      </w:r>
    </w:p>
    <w:p>
      <w:pPr>
        <w:spacing w:after="200" w:before="0" w:line="310"/>
      </w:pPr>
      <w:r>
        <w:rPr>
          <w:rFonts w:ascii="Aptos" w:cs="Aptos" w:eastAsia="Aptos" w:hAnsi="Aptos"/>
          <w:b/>
          <w:bCs/>
          <w:color w:val="146C94"/>
          <w:sz w:val="24"/>
          <w:szCs w:val="24"/>
        </w:rPr>
        <w:t xml:space="preserve">Production systems measured in time recovered, capacity created, and decisions improved.</w:t>
      </w:r>
    </w:p>
    <w:p>
      <w:pPr>
        <w:keepNext/>
        <w:pBdr>
          <w:bottom w:val="single" w:color="21A5B8" w:sz="10"/>
        </w:pBdr>
        <w:spacing w:after="85" w:before="190"/>
      </w:pPr>
      <w:r>
        <w:rPr>
          <w:rFonts w:ascii="Aptos" w:cs="Aptos" w:eastAsia="Aptos" w:hAnsi="Aptos"/>
          <w:b/>
          <w:bCs/>
          <w:color w:val="0D1B3D"/>
          <w:spacing w:val="75"/>
          <w:sz w:val="22"/>
          <w:szCs w:val="22"/>
        </w:rPr>
        <w:t xml:space="preserve">ROYAL ENGINEERING</w:t>
      </w:r>
    </w:p>
    <w:p>
      <w:pPr>
        <w:pStyle w:val="ListParagraph"/>
        <w:numPr>
          <w:ilvl w:val="0"/>
          <w:numId w:val="2"/>
        </w:numPr>
        <w:spacing w:after="85" w:line="245"/>
      </w:pPr>
      <w:r>
        <w:rPr>
          <w:rFonts w:ascii="Aptos" w:cs="Aptos" w:eastAsia="Aptos" w:hAnsi="Aptos"/>
          <w:color w:val="1E232B"/>
          <w:sz w:val="19"/>
          <w:szCs w:val="19"/>
        </w:rPr>
        <w:t xml:space="preserve">React/.NET/PDF/Excel pipeline supporting up to 300 model-output files per upload.</w:t>
      </w:r>
    </w:p>
    <w:p>
      <w:pPr>
        <w:pStyle w:val="ListParagraph"/>
        <w:numPr>
          <w:ilvl w:val="0"/>
          <w:numId w:val="2"/>
        </w:numPr>
        <w:spacing w:after="85" w:line="245"/>
      </w:pPr>
      <w:r>
        <w:rPr>
          <w:rFonts w:ascii="Aptos" w:cs="Aptos" w:eastAsia="Aptos" w:hAnsi="Aptos"/>
          <w:color w:val="1E232B"/>
          <w:sz w:val="19"/>
          <w:szCs w:val="19"/>
        </w:rPr>
        <w:t xml:space="preserve">Reduced a multi-week coastal-engineering settlement workflow to minutes and shortened QA/QC cycles.</w:t>
      </w:r>
    </w:p>
    <w:p>
      <w:pPr>
        <w:pStyle w:val="ListParagraph"/>
        <w:numPr>
          <w:ilvl w:val="0"/>
          <w:numId w:val="2"/>
        </w:numPr>
        <w:spacing w:after="85" w:line="245"/>
      </w:pPr>
      <w:r>
        <w:rPr>
          <w:rFonts w:ascii="Aptos" w:cs="Aptos" w:eastAsia="Aptos" w:hAnsi="Aptos"/>
          <w:color w:val="1E232B"/>
          <w:sz w:val="19"/>
          <w:szCs w:val="19"/>
        </w:rPr>
        <w:t xml:space="preserve">Delivered through a phased client engagement with domain-specific edge-case testing.</w:t>
      </w:r>
    </w:p>
    <w:p>
      <w:pPr>
        <w:keepNext/>
        <w:pBdr>
          <w:bottom w:val="single" w:color="21A5B8" w:sz="10"/>
        </w:pBdr>
        <w:spacing w:after="85" w:before="190"/>
      </w:pPr>
      <w:r>
        <w:rPr>
          <w:rFonts w:ascii="Aptos" w:cs="Aptos" w:eastAsia="Aptos" w:hAnsi="Aptos"/>
          <w:b/>
          <w:bCs/>
          <w:color w:val="0D1B3D"/>
          <w:spacing w:val="75"/>
          <w:sz w:val="22"/>
          <w:szCs w:val="22"/>
        </w:rPr>
        <w:t xml:space="preserve">CONSTRUCTION INTELLIGENCE</w:t>
      </w:r>
    </w:p>
    <w:p>
      <w:pPr>
        <w:pStyle w:val="ListParagraph"/>
        <w:numPr>
          <w:ilvl w:val="0"/>
          <w:numId w:val="2"/>
        </w:numPr>
        <w:spacing w:after="85" w:line="245"/>
      </w:pPr>
      <w:r>
        <w:rPr>
          <w:rFonts w:ascii="Aptos" w:cs="Aptos" w:eastAsia="Aptos" w:hAnsi="Aptos"/>
          <w:color w:val="1E232B"/>
          <w:sz w:val="19"/>
          <w:szCs w:val="19"/>
        </w:rPr>
        <w:t xml:space="preserve">RAG and document intelligence connecting email, files, calendars, vendor history, SOPs, and project context.</w:t>
      </w:r>
    </w:p>
    <w:p>
      <w:pPr>
        <w:pStyle w:val="ListParagraph"/>
        <w:numPr>
          <w:ilvl w:val="0"/>
          <w:numId w:val="2"/>
        </w:numPr>
        <w:spacing w:after="85" w:line="245"/>
      </w:pPr>
      <w:r>
        <w:rPr>
          <w:rFonts w:ascii="Aptos" w:cs="Aptos" w:eastAsia="Aptos" w:hAnsi="Aptos"/>
          <w:color w:val="1E232B"/>
          <w:sz w:val="19"/>
          <w:szCs w:val="19"/>
        </w:rPr>
        <w:t xml:space="preserve">Client case study reports 10–20 productive hours recovered per person per project.</w:t>
      </w:r>
    </w:p>
    <w:p>
      <w:pPr>
        <w:keepNext/>
        <w:pBdr>
          <w:bottom w:val="single" w:color="21A5B8" w:sz="10"/>
        </w:pBdr>
        <w:spacing w:after="85" w:before="190"/>
      </w:pPr>
      <w:r>
        <w:rPr>
          <w:rFonts w:ascii="Aptos" w:cs="Aptos" w:eastAsia="Aptos" w:hAnsi="Aptos"/>
          <w:b/>
          <w:bCs/>
          <w:color w:val="0D1B3D"/>
          <w:spacing w:val="75"/>
          <w:sz w:val="22"/>
          <w:szCs w:val="22"/>
        </w:rPr>
        <w:t xml:space="preserve">CIVIL AUTOMATION</w:t>
      </w:r>
    </w:p>
    <w:p>
      <w:pPr>
        <w:pStyle w:val="ListParagraph"/>
        <w:numPr>
          <w:ilvl w:val="0"/>
          <w:numId w:val="2"/>
        </w:numPr>
        <w:spacing w:after="85" w:line="245"/>
      </w:pPr>
      <w:r>
        <w:rPr>
          <w:rFonts w:ascii="Aptos" w:cs="Aptos" w:eastAsia="Aptos" w:hAnsi="Aptos"/>
          <w:color w:val="1E232B"/>
          <w:sz w:val="19"/>
          <w:szCs w:val="19"/>
        </w:rPr>
        <w:t xml:space="preserve">Five-module program spanning drainage analysis, plan QA, regulatory compliance, and proposal generation.</w:t>
      </w:r>
    </w:p>
    <w:p>
      <w:pPr>
        <w:pStyle w:val="ListParagraph"/>
        <w:numPr>
          <w:ilvl w:val="0"/>
          <w:numId w:val="2"/>
        </w:numPr>
        <w:spacing w:after="85" w:line="245"/>
      </w:pPr>
      <w:r>
        <w:rPr>
          <w:rFonts w:ascii="Aptos" w:cs="Aptos" w:eastAsia="Aptos" w:hAnsi="Aptos"/>
          <w:color w:val="1E232B"/>
          <w:sz w:val="19"/>
          <w:szCs w:val="19"/>
        </w:rPr>
        <w:t xml:space="preserve">Documented 80% time savings in a $42K engagement.</w:t>
      </w:r>
    </w:p>
    <w:p>
      <w:r>
        <w:br w:type="pag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0560"/>
      </w:tblGrid>
      <w:tr>
        <w:trPr>
          <w:cantSplit/>
        </w:trPr>
        <w:tc>
          <w:tcPr>
            <w:tcW w:type="dxa" w:w="10560"/>
            <w:tcBorders>
              <w:top w:val="none"/>
              <w:left w:val="none"/>
              <w:bottom w:val="none"/>
              <w:right w:val="none"/>
            </w:tcBorders>
            <w:shd w:fill="0D1B3D" w:val="clear"/>
            <w:tcMar>
              <w:top w:type="dxa" w:w="150"/>
              <w:left w:type="dxa" w:w="180"/>
              <w:bottom w:type="dxa" w:w="150"/>
              <w:right w:type="dxa" w:w="180"/>
            </w:tcMar>
            <w:vAlign w:val="center"/>
          </w:tcPr>
          <w:p>
            <w:pPr>
              <w:spacing w:after="45" w:before="0" w:line="260"/>
              <w:jc w:val="center"/>
            </w:pPr>
            <w:r>
              <w:drawing>
                <wp:inline distT="0" distB="0" distL="0" distR="0">
                  <wp:extent cx="1952625" cy="542925"/>
                  <wp:effectExtent t="0" r="0" b="0" l="0"/>
                  <wp:docPr id="1" name="DTG" descr="DTG logo" title="Dozier Te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42925"/>
                          </a:xfrm>
                          <a:prstGeom prst="rect">
                            <a:avLst/>
                          </a:prstGeom>
                        </pic:spPr>
                      </pic:pic>
                    </a:graphicData>
                  </a:graphic>
                </wp:inline>
              </w:drawing>
            </w:r>
          </w:p>
          <w:p>
            <w:pPr>
              <w:spacing w:after="22" w:before="0" w:line="260"/>
              <w:jc w:val="center"/>
            </w:pPr>
            <w:r>
              <w:rPr>
                <w:rFonts w:ascii="Aptos" w:cs="Aptos" w:eastAsia="Aptos" w:hAnsi="Aptos"/>
                <w:b/>
                <w:bCs/>
                <w:color w:val="A8DDE5"/>
                <w:spacing w:val="85"/>
                <w:sz w:val="14"/>
                <w:szCs w:val="14"/>
              </w:rPr>
              <w:t xml:space="preserve">HOW I LEAD</w:t>
            </w:r>
          </w:p>
          <w:p>
            <w:pPr>
              <w:spacing w:after="0" w:before="0" w:line="260"/>
              <w:jc w:val="center"/>
            </w:pPr>
            <w:r>
              <w:rPr>
                <w:rFonts w:ascii="Aptos" w:cs="Aptos" w:eastAsia="Aptos" w:hAnsi="Aptos"/>
                <w:b/>
                <w:bCs/>
                <w:color w:val="FFFFFF"/>
                <w:spacing w:val="65"/>
                <w:sz w:val="29"/>
                <w:szCs w:val="29"/>
              </w:rPr>
              <w:t xml:space="preserve">GRANT DOZIER</w:t>
            </w:r>
          </w:p>
        </w:tc>
      </w:tr>
    </w:tbl>
    <w:p>
      <w:pPr>
        <w:spacing w:after="110" w:before="350" w:line="400"/>
      </w:pPr>
      <w:r>
        <w:rPr>
          <w:rFonts w:ascii="Aptos" w:cs="Aptos" w:eastAsia="Aptos" w:hAnsi="Aptos"/>
          <w:b/>
          <w:bCs/>
          <w:color w:val="0D1B3D"/>
          <w:sz w:val="40"/>
          <w:szCs w:val="40"/>
        </w:rPr>
        <w:t xml:space="preserve">Leadership Operating Model</w:t>
      </w:r>
    </w:p>
    <w:p>
      <w:pPr>
        <w:spacing w:after="200" w:before="0" w:line="310"/>
      </w:pPr>
      <w:r>
        <w:rPr>
          <w:rFonts w:ascii="Aptos" w:cs="Aptos" w:eastAsia="Aptos" w:hAnsi="Aptos"/>
          <w:b/>
          <w:bCs/>
          <w:color w:val="146C94"/>
          <w:sz w:val="24"/>
          <w:szCs w:val="24"/>
        </w:rPr>
        <w:t xml:space="preserve">High agency, technical depth, explicit tradeoffs, and measurable outcomes.</w:t>
      </w:r>
    </w:p>
    <w:p>
      <w:pPr>
        <w:keepNext/>
        <w:pBdr>
          <w:bottom w:val="single" w:color="21A5B8" w:sz="10"/>
        </w:pBdr>
        <w:spacing w:after="85" w:before="190"/>
      </w:pPr>
      <w:r>
        <w:rPr>
          <w:rFonts w:ascii="Aptos" w:cs="Aptos" w:eastAsia="Aptos" w:hAnsi="Aptos"/>
          <w:b/>
          <w:bCs/>
          <w:color w:val="0D1B3D"/>
          <w:spacing w:val="75"/>
          <w:sz w:val="22"/>
          <w:szCs w:val="22"/>
        </w:rPr>
        <w:t xml:space="preserve">PRINCIPLES</w:t>
      </w:r>
    </w:p>
    <w:p>
      <w:pPr>
        <w:pStyle w:val="ListParagraph"/>
        <w:numPr>
          <w:ilvl w:val="0"/>
          <w:numId w:val="2"/>
        </w:numPr>
        <w:spacing w:after="85" w:line="245"/>
      </w:pPr>
      <w:r>
        <w:rPr>
          <w:rFonts w:ascii="Aptos" w:cs="Aptos" w:eastAsia="Aptos" w:hAnsi="Aptos"/>
          <w:color w:val="1E232B"/>
          <w:sz w:val="19"/>
          <w:szCs w:val="19"/>
        </w:rPr>
        <w:t xml:space="preserve">Start with the decision or workflow that must improve; do not begin with a model or framework.</w:t>
      </w:r>
    </w:p>
    <w:p>
      <w:pPr>
        <w:pStyle w:val="ListParagraph"/>
        <w:numPr>
          <w:ilvl w:val="0"/>
          <w:numId w:val="2"/>
        </w:numPr>
        <w:spacing w:after="85" w:line="245"/>
      </w:pPr>
      <w:r>
        <w:rPr>
          <w:rFonts w:ascii="Aptos" w:cs="Aptos" w:eastAsia="Aptos" w:hAnsi="Aptos"/>
          <w:color w:val="1E232B"/>
          <w:sz w:val="19"/>
          <w:szCs w:val="19"/>
        </w:rPr>
        <w:t xml:space="preserve">Make architecture legible enough that engineers can disagree with it productively.</w:t>
      </w:r>
    </w:p>
    <w:p>
      <w:pPr>
        <w:pStyle w:val="ListParagraph"/>
        <w:numPr>
          <w:ilvl w:val="0"/>
          <w:numId w:val="2"/>
        </w:numPr>
        <w:spacing w:after="85" w:line="245"/>
      </w:pPr>
      <w:r>
        <w:rPr>
          <w:rFonts w:ascii="Aptos" w:cs="Aptos" w:eastAsia="Aptos" w:hAnsi="Aptos"/>
          <w:color w:val="1E232B"/>
          <w:sz w:val="19"/>
          <w:szCs w:val="19"/>
        </w:rPr>
        <w:t xml:space="preserve">Sequence delivery around the riskiest evidence, not the easiest demo.</w:t>
      </w:r>
    </w:p>
    <w:p>
      <w:pPr>
        <w:pStyle w:val="ListParagraph"/>
        <w:numPr>
          <w:ilvl w:val="0"/>
          <w:numId w:val="2"/>
        </w:numPr>
        <w:spacing w:after="85" w:line="245"/>
      </w:pPr>
      <w:r>
        <w:rPr>
          <w:rFonts w:ascii="Aptos" w:cs="Aptos" w:eastAsia="Aptos" w:hAnsi="Aptos"/>
          <w:color w:val="1E232B"/>
          <w:sz w:val="19"/>
          <w:szCs w:val="19"/>
        </w:rPr>
        <w:t xml:space="preserve">Keep uncertainty visible. Silent model confidence is not a production control.</w:t>
      </w:r>
    </w:p>
    <w:p>
      <w:pPr>
        <w:pStyle w:val="ListParagraph"/>
        <w:numPr>
          <w:ilvl w:val="0"/>
          <w:numId w:val="2"/>
        </w:numPr>
        <w:spacing w:after="85" w:line="245"/>
      </w:pPr>
      <w:r>
        <w:rPr>
          <w:rFonts w:ascii="Aptos" w:cs="Aptos" w:eastAsia="Aptos" w:hAnsi="Aptos"/>
          <w:color w:val="1E232B"/>
          <w:sz w:val="19"/>
          <w:szCs w:val="19"/>
        </w:rPr>
        <w:t xml:space="preserve">Give teams context, boundaries, and ownership—not task fragments.</w:t>
      </w:r>
    </w:p>
    <w:p>
      <w:pPr>
        <w:pStyle w:val="ListParagraph"/>
        <w:numPr>
          <w:ilvl w:val="0"/>
          <w:numId w:val="2"/>
        </w:numPr>
        <w:spacing w:after="85" w:line="245"/>
      </w:pPr>
      <w:r>
        <w:rPr>
          <w:rFonts w:ascii="Aptos" w:cs="Aptos" w:eastAsia="Aptos" w:hAnsi="Aptos"/>
          <w:color w:val="1E232B"/>
          <w:sz w:val="19"/>
          <w:szCs w:val="19"/>
        </w:rPr>
        <w:t xml:space="preserve">Measure adoption, reliability, time recovered, decision quality, and business value.</w:t>
      </w:r>
    </w:p>
    <w:p>
      <w:pPr>
        <w:keepNext/>
        <w:pBdr>
          <w:bottom w:val="single" w:color="21A5B8" w:sz="10"/>
        </w:pBdr>
        <w:spacing w:after="85" w:before="190"/>
      </w:pPr>
      <w:r>
        <w:rPr>
          <w:rFonts w:ascii="Aptos" w:cs="Aptos" w:eastAsia="Aptos" w:hAnsi="Aptos"/>
          <w:b/>
          <w:bCs/>
          <w:color w:val="0D1B3D"/>
          <w:spacing w:val="75"/>
          <w:sz w:val="22"/>
          <w:szCs w:val="22"/>
        </w:rPr>
        <w:t xml:space="preserve">MANAGEMENT RANGE</w:t>
      </w:r>
    </w:p>
    <w:p>
      <w:pPr>
        <w:spacing w:after="115" w:before="0" w:line="260"/>
      </w:pPr>
      <w:r>
        <w:rPr>
          <w:rFonts w:ascii="Aptos" w:cs="Aptos" w:eastAsia="Aptos" w:hAnsi="Aptos"/>
          <w:color w:val="1E232B"/>
          <w:sz w:val="20"/>
          <w:szCs w:val="20"/>
        </w:rPr>
        <w:t xml:space="preserve">Comfortable operating as a Staff-level builder, technical lead for a small senior team, or engineering manager responsible for architecture-heavy applied AI delivery. Strongest where product ambiguity, systems integration, and customer consequences intersect.</w:t>
      </w:r>
    </w:p>
    <w:p>
      <w:r>
        <w:br w:type="pag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0560"/>
      </w:tblGrid>
      <w:tr>
        <w:trPr>
          <w:cantSplit/>
        </w:trPr>
        <w:tc>
          <w:tcPr>
            <w:tcW w:type="dxa" w:w="10560"/>
            <w:tcBorders>
              <w:top w:val="none"/>
              <w:left w:val="none"/>
              <w:bottom w:val="none"/>
              <w:right w:val="none"/>
            </w:tcBorders>
            <w:shd w:fill="0D1B3D" w:val="clear"/>
            <w:tcMar>
              <w:top w:type="dxa" w:w="150"/>
              <w:left w:type="dxa" w:w="180"/>
              <w:bottom w:type="dxa" w:w="150"/>
              <w:right w:type="dxa" w:w="180"/>
            </w:tcMar>
            <w:vAlign w:val="center"/>
          </w:tcPr>
          <w:p>
            <w:pPr>
              <w:spacing w:after="45" w:before="0" w:line="260"/>
              <w:jc w:val="center"/>
            </w:pPr>
            <w:r>
              <w:drawing>
                <wp:inline distT="0" distB="0" distL="0" distR="0">
                  <wp:extent cx="1952625" cy="542925"/>
                  <wp:effectExtent t="0" r="0" b="0" l="0"/>
                  <wp:docPr id="1" name="DTG" descr="DTG logo" title="Dozier Te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42925"/>
                          </a:xfrm>
                          <a:prstGeom prst="rect">
                            <a:avLst/>
                          </a:prstGeom>
                        </pic:spPr>
                      </pic:pic>
                    </a:graphicData>
                  </a:graphic>
                </wp:inline>
              </w:drawing>
            </w:r>
          </w:p>
          <w:p>
            <w:pPr>
              <w:spacing w:after="22" w:before="0" w:line="260"/>
              <w:jc w:val="center"/>
            </w:pPr>
            <w:r>
              <w:rPr>
                <w:rFonts w:ascii="Aptos" w:cs="Aptos" w:eastAsia="Aptos" w:hAnsi="Aptos"/>
                <w:b/>
                <w:bCs/>
                <w:color w:val="A8DDE5"/>
                <w:spacing w:val="85"/>
                <w:sz w:val="14"/>
                <w:szCs w:val="14"/>
              </w:rPr>
              <w:t xml:space="preserve">WHERE THIS CANDIDACY WINS</w:t>
            </w:r>
          </w:p>
          <w:p>
            <w:pPr>
              <w:spacing w:after="0" w:before="0" w:line="260"/>
              <w:jc w:val="center"/>
            </w:pPr>
            <w:r>
              <w:rPr>
                <w:rFonts w:ascii="Aptos" w:cs="Aptos" w:eastAsia="Aptos" w:hAnsi="Aptos"/>
                <w:b/>
                <w:bCs/>
                <w:color w:val="FFFFFF"/>
                <w:spacing w:val="65"/>
                <w:sz w:val="29"/>
                <w:szCs w:val="29"/>
              </w:rPr>
              <w:t xml:space="preserve">GRANT DOZIER</w:t>
            </w:r>
          </w:p>
        </w:tc>
      </w:tr>
    </w:tbl>
    <w:p>
      <w:pPr>
        <w:spacing w:after="110" w:before="350" w:line="400"/>
      </w:pPr>
      <w:r>
        <w:rPr>
          <w:rFonts w:ascii="Aptos" w:cs="Aptos" w:eastAsia="Aptos" w:hAnsi="Aptos"/>
          <w:b/>
          <w:bCs/>
          <w:color w:val="0D1B3D"/>
          <w:sz w:val="40"/>
          <w:szCs w:val="40"/>
        </w:rPr>
        <w:t xml:space="preserve">Role Fit</w:t>
      </w:r>
    </w:p>
    <w:p>
      <w:pPr>
        <w:spacing w:after="200" w:before="0" w:line="310"/>
      </w:pPr>
      <w:r>
        <w:rPr>
          <w:rFonts w:ascii="Aptos" w:cs="Aptos" w:eastAsia="Aptos" w:hAnsi="Aptos"/>
          <w:b/>
          <w:bCs/>
          <w:color w:val="146C94"/>
          <w:sz w:val="24"/>
          <w:szCs w:val="24"/>
        </w:rPr>
        <w:t xml:space="preserve">Applied AI, agent infrastructure, platform engineering, and high-agency technical leadership.</w:t>
      </w:r>
    </w:p>
    <w:p>
      <w:pPr>
        <w:keepNext/>
        <w:pBdr>
          <w:bottom w:val="single" w:color="21A5B8" w:sz="10"/>
        </w:pBdr>
        <w:spacing w:after="85" w:before="190"/>
      </w:pPr>
      <w:r>
        <w:rPr>
          <w:rFonts w:ascii="Aptos" w:cs="Aptos" w:eastAsia="Aptos" w:hAnsi="Aptos"/>
          <w:b/>
          <w:bCs/>
          <w:color w:val="0D1B3D"/>
          <w:spacing w:val="75"/>
          <w:sz w:val="22"/>
          <w:szCs w:val="22"/>
        </w:rPr>
        <w:t xml:space="preserve">BEST-FIT ROLE FAMILIES</w:t>
      </w:r>
    </w:p>
    <w:p>
      <w:pPr>
        <w:pStyle w:val="ListParagraph"/>
        <w:numPr>
          <w:ilvl w:val="0"/>
          <w:numId w:val="2"/>
        </w:numPr>
        <w:spacing w:after="85" w:line="245"/>
      </w:pPr>
      <w:r>
        <w:rPr>
          <w:rFonts w:ascii="Aptos" w:cs="Aptos" w:eastAsia="Aptos" w:hAnsi="Aptos"/>
          <w:color w:val="1E232B"/>
          <w:sz w:val="19"/>
          <w:szCs w:val="19"/>
        </w:rPr>
        <w:t xml:space="preserve">Staff / Senior Applied AI Engineer</w:t>
      </w:r>
    </w:p>
    <w:p>
      <w:pPr>
        <w:pStyle w:val="ListParagraph"/>
        <w:numPr>
          <w:ilvl w:val="0"/>
          <w:numId w:val="2"/>
        </w:numPr>
        <w:spacing w:after="85" w:line="245"/>
      </w:pPr>
      <w:r>
        <w:rPr>
          <w:rFonts w:ascii="Aptos" w:cs="Aptos" w:eastAsia="Aptos" w:hAnsi="Aptos"/>
          <w:color w:val="1E232B"/>
          <w:sz w:val="19"/>
          <w:szCs w:val="19"/>
        </w:rPr>
        <w:t xml:space="preserve">Staff Platform Engineer, Agent Infrastructure</w:t>
      </w:r>
    </w:p>
    <w:p>
      <w:pPr>
        <w:pStyle w:val="ListParagraph"/>
        <w:numPr>
          <w:ilvl w:val="0"/>
          <w:numId w:val="2"/>
        </w:numPr>
        <w:spacing w:after="85" w:line="245"/>
      </w:pPr>
      <w:r>
        <w:rPr>
          <w:rFonts w:ascii="Aptos" w:cs="Aptos" w:eastAsia="Aptos" w:hAnsi="Aptos"/>
          <w:color w:val="1E232B"/>
          <w:sz w:val="19"/>
          <w:szCs w:val="19"/>
        </w:rPr>
        <w:t xml:space="preserve">Engineering Manager, Applied AI or AI Deployment</w:t>
      </w:r>
    </w:p>
    <w:p>
      <w:pPr>
        <w:pStyle w:val="ListParagraph"/>
        <w:numPr>
          <w:ilvl w:val="0"/>
          <w:numId w:val="2"/>
        </w:numPr>
        <w:spacing w:after="85" w:line="245"/>
      </w:pPr>
      <w:r>
        <w:rPr>
          <w:rFonts w:ascii="Aptos" w:cs="Aptos" w:eastAsia="Aptos" w:hAnsi="Aptos"/>
          <w:color w:val="1E232B"/>
          <w:sz w:val="19"/>
          <w:szCs w:val="19"/>
        </w:rPr>
        <w:t xml:space="preserve">Technical Lead, Enterprise AI Systems</w:t>
      </w:r>
    </w:p>
    <w:p>
      <w:pPr>
        <w:pStyle w:val="ListParagraph"/>
        <w:numPr>
          <w:ilvl w:val="0"/>
          <w:numId w:val="2"/>
        </w:numPr>
        <w:spacing w:after="85" w:line="245"/>
      </w:pPr>
      <w:r>
        <w:rPr>
          <w:rFonts w:ascii="Aptos" w:cs="Aptos" w:eastAsia="Aptos" w:hAnsi="Aptos"/>
          <w:color w:val="1E232B"/>
          <w:sz w:val="19"/>
          <w:szCs w:val="19"/>
        </w:rPr>
        <w:t xml:space="preserve">Member of Technical Staff, product and infrastructure leaning</w:t>
      </w:r>
    </w:p>
    <w:p>
      <w:pPr>
        <w:keepNext/>
        <w:pBdr>
          <w:bottom w:val="single" w:color="21A5B8" w:sz="10"/>
        </w:pBdr>
        <w:spacing w:after="85" w:before="190"/>
      </w:pPr>
      <w:r>
        <w:rPr>
          <w:rFonts w:ascii="Aptos" w:cs="Aptos" w:eastAsia="Aptos" w:hAnsi="Aptos"/>
          <w:b/>
          <w:bCs/>
          <w:color w:val="0D1B3D"/>
          <w:spacing w:val="75"/>
          <w:sz w:val="22"/>
          <w:szCs w:val="22"/>
        </w:rPr>
        <w:t xml:space="preserve">THE HONEST GAP</w:t>
      </w:r>
    </w:p>
    <w:p>
      <w:pPr>
        <w:spacing w:after="115" w:before="0" w:line="260"/>
      </w:pPr>
      <w:r>
        <w:rPr>
          <w:rFonts w:ascii="Aptos" w:cs="Aptos" w:eastAsia="Aptos" w:hAnsi="Aptos"/>
          <w:color w:val="1E232B"/>
          <w:sz w:val="20"/>
          <w:szCs w:val="20"/>
        </w:rPr>
        <w:t xml:space="preserve">The strongest evidence is production applied AI and systems architecture—not frontier-model pretraining research. The package should target engineering roles where models meet tools, retrieval, data, customers, and operational constraints.</w:t>
      </w:r>
    </w:p>
    <w:p>
      <w:pPr>
        <w:keepNext/>
        <w:pBdr>
          <w:bottom w:val="single" w:color="21A5B8" w:sz="10"/>
        </w:pBdr>
        <w:spacing w:after="85" w:before="190"/>
      </w:pPr>
      <w:r>
        <w:rPr>
          <w:rFonts w:ascii="Aptos" w:cs="Aptos" w:eastAsia="Aptos" w:hAnsi="Aptos"/>
          <w:b/>
          <w:bCs/>
          <w:color w:val="0D1B3D"/>
          <w:spacing w:val="75"/>
          <w:sz w:val="22"/>
          <w:szCs w:val="22"/>
        </w:rPr>
        <w:t xml:space="preserve">CONTACT</w:t>
      </w:r>
    </w:p>
    <w:p>
      <w:pPr>
        <w:spacing w:after="115" w:before="0" w:line="260"/>
      </w:pPr>
      <w:hyperlink w:history="1" r:id="rIdymsp-cco4wk3x5lc4hjk2">
        <w:r>
          <w:rPr>
            <w:rFonts w:ascii="Aptos" w:cs="Aptos" w:eastAsia="Aptos" w:hAnsi="Aptos"/>
            <w:color w:val="146C94"/>
            <w:sz w:val="20"/>
            <w:szCs w:val="20"/>
            <w:u w:val="single"/>
          </w:rPr>
          <w:t xml:space="preserve">grant@doziertechgroup.com</w:t>
        </w:r>
      </w:hyperlink>
      <w:r>
        <w:rPr>
          <w:rFonts w:ascii="Aptos" w:cs="Aptos" w:eastAsia="Aptos" w:hAnsi="Aptos"/>
          <w:color w:val="1E232B"/>
          <w:sz w:val="20"/>
          <w:szCs w:val="20"/>
        </w:rPr>
        <w:t xml:space="preserve">  ·  (337) 412-4767  ·  </w:t>
      </w:r>
      <w:hyperlink w:history="1" r:id="rIdnb0wnmgfq-dgbb4dgbnpb">
        <w:r>
          <w:rPr>
            <w:rFonts w:ascii="Aptos" w:cs="Aptos" w:eastAsia="Aptos" w:hAnsi="Aptos"/>
            <w:color w:val="146C94"/>
            <w:sz w:val="20"/>
            <w:szCs w:val="20"/>
            <w:u w:val="single"/>
          </w:rPr>
          <w:t xml:space="preserve">github.com/grantdozier</w:t>
        </w:r>
      </w:hyperlink>
      <w:r>
        <w:rPr>
          <w:rFonts w:ascii="Aptos" w:cs="Aptos" w:eastAsia="Aptos" w:hAnsi="Aptos"/>
          <w:color w:val="1E232B"/>
          <w:sz w:val="20"/>
          <w:szCs w:val="20"/>
        </w:rPr>
        <w:t xml:space="preserve">  ·  </w:t>
      </w:r>
      <w:hyperlink w:history="1" r:id="rIdlimr8bjykq0xndqeoym4o">
        <w:r>
          <w:rPr>
            <w:rFonts w:ascii="Aptos" w:cs="Aptos" w:eastAsia="Aptos" w:hAnsi="Aptos"/>
            <w:color w:val="146C94"/>
            <w:sz w:val="20"/>
            <w:szCs w:val="20"/>
            <w:u w:val="single"/>
          </w:rPr>
          <w:t xml:space="preserve">doziertechgroup.com</w:t>
        </w:r>
      </w:hyperlink>
    </w:p>
    <w:sectPr>
      <w:pgSz w:w="12240" w:h="15840" w:orient="portrait"/>
      <w:pgMar w:top="0" w:right="840" w:bottom="620" w:left="8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E232B"/>
        <w:sz w:val="20"/>
        <w:szCs w:val="20"/>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msp-cco4wk3x5lc4hjk2" Type="http://schemas.openxmlformats.org/officeDocument/2006/relationships/hyperlink" Target="mailto:grant@doziertechgroup.com" TargetMode="External"/><Relationship Id="rIdnb0wnmgfq-dgbb4dgbnpb" Type="http://schemas.openxmlformats.org/officeDocument/2006/relationships/hyperlink" Target="https://github.com/grantdozier" TargetMode="External"/><Relationship Id="rIdlimr8bjykq0xndqeoym4o" Type="http://schemas.openxmlformats.org/officeDocument/2006/relationships/hyperlink" Target="https://www.doziertechgroup.com" TargetMode="External"/><Relationship Id="rId7" Type="http://schemas.openxmlformats.org/officeDocument/2006/relationships/image" Target="media/5a7ed14fe602cb47c2fb080e55e99ba95fc92e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Technical Portfolio</dc:title>
  <dc:creator>Grant Dozier</dc:creator>
  <dc:description>Dozier Tech Group executive candidate package</dc:description>
  <cp:lastModifiedBy>Un-named</cp:lastModifiedBy>
  <cp:revision>1</cp:revision>
  <dcterms:created xsi:type="dcterms:W3CDTF">2026-07-15T02:06:56.280Z</dcterms:created>
  <dcterms:modified xsi:type="dcterms:W3CDTF">2026-07-15T02:06:56.280Z</dcterms:modified>
</cp:coreProperties>
</file>

<file path=docProps/custom.xml><?xml version="1.0" encoding="utf-8"?>
<Properties xmlns="http://schemas.openxmlformats.org/officeDocument/2006/custom-properties" xmlns:vt="http://schemas.openxmlformats.org/officeDocument/2006/docPropsVTypes"/>
</file>