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00"/>
        <w:gridCol w:w="7060"/>
      </w:tblGrid>
      <w:tr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220"/>
              <w:left w:type="dxa" w:w="280"/>
              <w:bottom w:type="dxa" w:w="210"/>
              <w:right w:type="dxa" w:w="15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504825"/>
                  <wp:effectExtent t="0" r="0" b="0" l="0"/>
                  <wp:docPr id="1" name="DTG logo" descr="Dozier Tech Group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90"/>
              <w:left w:type="dxa" w:w="150"/>
              <w:bottom w:type="dxa" w:w="180"/>
              <w:right w:type="dxa" w:w="290"/>
            </w:tcMar>
            <w:vAlign w:val="top"/>
          </w:tcPr>
          <w:p>
            <w:pPr>
              <w:spacing w:after="25"/>
              <w:jc w:val="right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80"/>
                <w:sz w:val="36"/>
                <w:szCs w:val="36"/>
              </w:rPr>
              <w:t xml:space="preserve">GRANT DOZIER</w:t>
            </w:r>
          </w:p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75"/>
                <w:sz w:val="16"/>
                <w:szCs w:val="16"/>
              </w:rPr>
              <w:t xml:space="preserve">STAFF / SENIOR APPLIED AI ENGINEER</w:t>
            </w:r>
          </w:p>
        </w:tc>
      </w:tr>
    </w:tbl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0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200"/>
              <w:left w:type="dxa" w:w="220"/>
              <w:bottom w:type="dxa" w:w="180"/>
              <w:right w:type="dxa" w:w="21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552450" cy="552450"/>
                  <wp:effectExtent t="0" r="0" b="0" l="0"/>
                  <wp:docPr id="1" name="DTG mark" descr="Dozier Tech Group mark" title="DTG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ENGINEERING EDGE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Agent &amp; tool infrastructure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RAG + retrieval architecture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Ontology + provenance design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HITL evaluation systems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Production data platforms</w:t>
            </w:r>
          </w:p>
          <w:p>
            <w:pPr>
              <w:spacing w:after="65"/>
            </w:pPr>
            <w:r>
              <w:rPr>
                <w:rFonts w:ascii="Aptos" w:cs="Aptos" w:eastAsia="Aptos" w:hAnsi="Aptos"/>
                <w:b/>
                <w:bCs/>
                <w:color w:val="0D1B3D"/>
                <w:sz w:val="17"/>
                <w:szCs w:val="17"/>
              </w:rPr>
              <w:t xml:space="preserve">0→1 technical ownership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TECH STACK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Python · TypeScript · C# · SQL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.NET · FastAPI · React · Node.js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Azure · Docker · PostgreSQL · SQL Server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MCP · RAG · embeddings · vector search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CONTACT</w:t>
            </w:r>
          </w:p>
          <w:p>
            <w:pPr>
              <w:spacing w:after="80" w:line="245"/>
            </w:pPr>
            <w:hyperlink w:history="1" r:id="rIdn68wwnpakq-oqtbwbgnab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grant@doziertechgroup.com</w:t>
              </w:r>
            </w:hyperlink>
          </w:p>
          <w:p>
            <w:pPr>
              <w:spacing w:after="80" w:line="245"/>
            </w:pPr>
            <w:hyperlink w:history="1" r:id="rIdp-hywqzn9zekpzbeuebss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github.com/grantdozier</w:t>
              </w:r>
            </w:hyperlink>
          </w:p>
          <w:p>
            <w:pPr>
              <w:spacing w:after="80" w:line="245"/>
            </w:pPr>
            <w:hyperlink w:history="1" r:id="rIdkuzsnnw7nmcnmhmvcjxm9">
              <w:r>
                <w:rPr>
                  <w:rFonts w:ascii="Aptos" w:cs="Aptos" w:eastAsia="Aptos" w:hAnsi="Aptos"/>
                  <w:color w:val="146C94"/>
                  <w:sz w:val="17"/>
                  <w:szCs w:val="17"/>
                  <w:u w:val="single"/>
                </w:rPr>
                <w:t xml:space="preserve">doziertechgroup.com</w:t>
              </w:r>
            </w:hyperlink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Lafayette, Louisiana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  <w:tcMar>
              <w:top w:type="dxa" w:w="150"/>
              <w:left w:type="dxa" w:w="260"/>
              <w:bottom w:type="dxa" w:w="0"/>
              <w:right w:type="dxa" w:w="0"/>
            </w:tcMar>
            <w:vAlign w:val="top"/>
          </w:tcPr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21A5B8"/>
                <w:spacing w:val="120"/>
                <w:sz w:val="15"/>
                <w:szCs w:val="15"/>
              </w:rPr>
              <w:t xml:space="preserve">POSITIONING</w:t>
            </w:r>
          </w:p>
          <w:p>
            <w:pPr>
              <w:spacing w:after="120" w:line="290"/>
            </w:pPr>
            <w:r>
              <w:rPr>
                <w:rFonts w:ascii="Aptos" w:cs="Aptos" w:eastAsia="Aptos" w:hAnsi="Aptos"/>
                <w:b/>
                <w:bCs/>
                <w:color w:val="0D1B3D"/>
                <w:sz w:val="29"/>
                <w:szCs w:val="29"/>
              </w:rPr>
              <w:t xml:space="preserve">I build the systems between frontier models and real operations.</w:t>
            </w:r>
          </w:p>
          <w:p>
            <w:pPr>
              <w:spacing w:after="120" w:line="255"/>
            </w:pPr>
            <w:r>
              <w:rPr>
                <w:rFonts w:ascii="Aptos" w:cs="Aptos" w:eastAsia="Aptos" w:hAnsi="Aptos"/>
                <w:color w:val="586475"/>
                <w:sz w:val="19"/>
                <w:szCs w:val="19"/>
              </w:rPr>
              <w:t xml:space="preserve">Applied AI and platform engineer with 9+ years turning ambiguous, high-stakes workflows into production systems. Founder-level ownership across agent infrastructure, retrieval, ontology design, data platforms, human-in-the-loop AI, cloud delivery, and customer outcomes.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PROOF, NOT PROMISES</w:t>
            </w:r>
          </w:p>
          <w:tbl>
            <w:tblPr>
              <w:tblW w:type="dxa" w:w="75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00"/>
              <w:gridCol w:w="2500"/>
              <w:gridCol w:w="2500"/>
            </w:tblGrid>
            <w:tr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22.5M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POS UNITS · AI RESOLUTION</w:t>
                  </w:r>
                </w:p>
              </w:tc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933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OPPORTUNITIES · AUTONOMOUS PIPELINE</w:t>
                  </w:r>
                </w:p>
              </w:tc>
              <w:tc>
                <w:tcPr>
                  <w:tcW w:type="dxa" w:w="2500"/>
                  <w:tcBorders>
                    <w:top w:val="none"/>
                    <w:left w:val="none"/>
                    <w:bottom w:val="none"/>
                    <w:right w:val="none"/>
                  </w:tcBorders>
                  <w:shd w:fill="0D1B3D" w:val="clear"/>
                  <w:tcMar>
                    <w:top w:type="dxa" w:w="160"/>
                    <w:left w:type="dxa" w:w="170"/>
                    <w:bottom w:type="dxa" w:w="15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FFFFFF"/>
                      <w:sz w:val="31"/>
                      <w:szCs w:val="31"/>
                    </w:rPr>
                    <w:t xml:space="preserve">95%</w:t>
                  </w:r>
                </w:p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BDD2DD"/>
                      <w:spacing w:val="45"/>
                      <w:sz w:val="14"/>
                      <w:szCs w:val="14"/>
                    </w:rPr>
                    <w:t xml:space="preserve">CYCLE-TIME REDUCTION</w:t>
                  </w:r>
                </w:p>
              </w:tc>
            </w:tr>
          </w:tbl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FLAGSHIP AI SYSTEMS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01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ATHENA + HERMES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SYSTEMS ARCHITECT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Governed intelligence for high-stakes human decisions.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Bi-temporal ontology, provenance, explainable signal paths, counter-evidence, role-calibrated surfaces, visible uncertainty, and human-final action across education and sports.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02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TabX Resolution Platform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LEAD SOFTWARE ENGINEER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Entity resolution at ~22.5M-record scale.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Deterministic resolution, embeddings, model verification, confidence thresholds, evaluation gates, and human review across .NET, React, Python, MCP, and SQL Server.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03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AI Operating Layer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PRINCIPAL ENGINEER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One governed workspace across the modern toolchain.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Typed MCP infrastructure spanning GitHub, Linear, Microsoft 365, Google Drive, Cloudflare R2, transcription, billing, and institutional memory.</w:t>
                  </w:r>
                </w:p>
              </w:tc>
            </w:tr>
          </w:tbl>
          <w:p>
            <w:pPr>
              <w:spacing w:after="45"/>
            </w:pPr>
            <w:r>
              <w:rPr>
                <w:rFonts w:ascii="Aptos" w:cs="Aptos" w:eastAsia="Aptos" w:hAnsi="Aptos"/>
                <w:color w:val="1E232B"/>
                <w:sz w:val="19"/>
                <w:szCs w:val="19"/>
              </w:rPr>
              <w:t xml:space="preserve"/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850"/>
              <w:gridCol w:w="6850"/>
            </w:tblGrid>
            <w:tr>
              <w:tc>
                <w:tcPr>
                  <w:tcW w:type="dxa" w:w="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21A5B8"/>
                      <w:sz w:val="32"/>
                      <w:szCs w:val="32"/>
                    </w:rPr>
                    <w:t xml:space="preserve">04</w:t>
                  </w:r>
                </w:p>
              </w:tc>
              <w:tc>
                <w:tcPr>
                  <w:tcW w:type="dxa" w:w="685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50"/>
                    <w:left w:type="dxa" w:w="210"/>
                    <w:bottom w:type="dxa" w:w="150"/>
                    <w:right w:type="dxa" w:w="21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1"/>
                      <w:szCs w:val="21"/>
                    </w:rPr>
                    <w:t xml:space="preserve">Royal Engineering Automation</w:t>
                  </w:r>
                </w:p>
                <w:p>
                  <w:pPr>
                    <w:spacing w:after="5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70"/>
                      <w:sz w:val="14"/>
                      <w:szCs w:val="14"/>
                    </w:rPr>
                    <w:t xml:space="preserve">FOUNDER / SYSTEMS ARCHITECT</w:t>
                  </w:r>
                </w:p>
                <w:p>
                  <w:pPr>
                    <w:spacing w:after="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E232B"/>
                      <w:sz w:val="18"/>
                      <w:szCs w:val="18"/>
                    </w:rPr>
                    <w:t xml:space="preserve">Multi-week analysis compressed to minutes.</w:t>
                  </w:r>
                </w:p>
                <w:p>
                  <w:pPr>
                    <w:spacing w:after="0" w:line="225"/>
                  </w:pPr>
                  <w:r>
                    <w:rPr>
                      <w:rFonts w:ascii="Aptos" w:cs="Aptos" w:eastAsia="Aptos" w:hAnsi="Aptos"/>
                      <w:color w:val="586475"/>
                      <w:sz w:val="17"/>
                      <w:szCs w:val="17"/>
                    </w:rPr>
                    <w:t xml:space="preserve">React/.NET/PDF/Excel pipeline processes up to 300 engineering model outputs per upload while improving QA/QC, accuracy, and scale.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5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80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200"/>
              <w:left w:type="dxa" w:w="220"/>
              <w:bottom w:type="dxa" w:w="180"/>
              <w:right w:type="dxa" w:w="210"/>
            </w:tcMar>
            <w:vAlign w:val="top"/>
          </w:tcPr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OPERATING RANGE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0→1 PRODUCT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Discovery to production, with architecture, implementation, deployment, and operations owned end to end.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ENTERPRISE SCALE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Government ERP, cloud migration, regulated workflows, and multidisciplinary stakeholder environments.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FOUNDER JUDGMENT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6"/>
                <w:szCs w:val="16"/>
              </w:rPr>
              <w:t xml:space="preserve">Commercial scoping, delivery risk, product tradeoffs, client trust, and measurable ROI—not code in isolation.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DOMAINS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Applied AI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Agent systems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Higher education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Sports intelligence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Government ERP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Construction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Civil engineering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0D1B3D"/>
                <w:sz w:val="16"/>
                <w:szCs w:val="16"/>
              </w:rPr>
              <w:t xml:space="preserve">Hospitality data</w:t>
            </w:r>
          </w:p>
          <w:p>
            <w:pPr>
              <w:spacing w:after="55" w:before="100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120"/>
                <w:sz w:val="15"/>
                <w:szCs w:val="15"/>
              </w:rPr>
              <w:t xml:space="preserve">9+ YEARS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8"/>
                <w:szCs w:val="18"/>
              </w:rPr>
              <w:t xml:space="preserve">Building production software since 2017.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  <w:tcMar>
              <w:top w:type="dxa" w:w="150"/>
              <w:left w:type="dxa" w:w="260"/>
              <w:bottom w:type="dxa" w:w="0"/>
              <w:right w:type="dxa" w:w="0"/>
            </w:tcMar>
            <w:vAlign w:val="top"/>
          </w:tcPr>
          <w:p>
            <w:pPr>
              <w:spacing w:after="90" w:before="20"/>
              <w:jc w:val="right"/>
            </w:pPr>
            <w:r>
              <w:rPr>
                <w:rFonts w:ascii="Aptos" w:cs="Aptos" w:eastAsia="Aptos" w:hAnsi="Aptos"/>
                <w:b/>
                <w:bCs/>
                <w:color w:val="146C94"/>
                <w:spacing w:val="55"/>
                <w:sz w:val="15"/>
                <w:szCs w:val="15"/>
              </w:rPr>
              <w:t xml:space="preserve">GRANT DOZIER  /  STAFF / SENIOR APPLIED AI ENGINEER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EXPERIENCE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Dozier Tech Group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Founder &amp; Principal Engineer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2025–Present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Built a typed MCP operating layer connecting GitHub, Linear, Microsoft 365, Google Drive, Cloudflare R2, transcription, billing, and institutional memory across 100+ TypeScript modules.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Designed an autonomous intelligence pipeline that ingests and ranks 933 funding and procurement opportunities, then supports qualification, proposal, and delivery workflows.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TabX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Lead Software Engineer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2024–Present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Architected AI-assisted entity resolution across ~22.5M POS units using deterministic matching, embeddings, model verification, confidence gates, and human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Owned the polyglot system across .NET 9, React 19, Python/FastAPI, MCP, SQL Server, and production data workflows.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MetVero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Founder &amp; Systems Architect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2026–Present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Designed ATHENA and HERMES around sourced “decision surfaces,” bi-temporal rules, explainable signal paths, visible uncertainty, and human-final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Created a reusable institutional-intelligence core spanning higher education and professional/collegiate sports.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CGI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Solutions Developer / Transition Co-Lead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2023–2024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Co-led government ERP transitions across custom development, environment planning, deployment, QA, performance readiness, training, documentation, and stakeholder coordination.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Perficient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Associate Technical Consultant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2020–2022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Shipped React enterprise onboarding tools; migrated and remediated .NET applications for Azure; built integration/smoke-test automation and Azure DevOps pipelines.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500"/>
              <w:gridCol w:w="2200"/>
            </w:tblGrid>
            <w:tr>
              <w:tc>
                <w:tcPr>
                  <w:tcW w:type="dxa" w:w="55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0"/>
                    <w:bottom w:type="dxa" w:w="0"/>
                    <w:right w:type="dxa" w:w="150"/>
                  </w:tcMar>
                  <w:vAlign w:val="top"/>
                </w:tcPr>
                <w:p>
                  <w:pPr>
                    <w:spacing w:after="1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0D1B3D"/>
                      <w:sz w:val="20"/>
                      <w:szCs w:val="20"/>
                    </w:rPr>
                    <w:t xml:space="preserve">Meyer Technologies</w:t>
                  </w: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8"/>
                      <w:szCs w:val="18"/>
                    </w:rPr>
                    <w:t xml:space="preserve">  /  Software Developer</w:t>
                  </w:r>
                </w:p>
              </w:tc>
              <w:tc>
                <w:tcPr>
                  <w:tcW w:type="dxa" w:w="22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70"/>
                    <w:left w:type="dxa" w:w="15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15"/>
                    <w:jc w:val="right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86475"/>
                      <w:sz w:val="16"/>
                      <w:szCs w:val="16"/>
                    </w:rPr>
                    <w:t xml:space="preserve">2017–2019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65" w:line="230"/>
            </w:pP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Built C#, .NET, JavaScript, API, data, and automated-test solutions for healthcare, marine transportation, and mobile workflows on a three-person team.</w:t>
            </w:r>
          </w:p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ADDITIONAL BUSINESS IMPACT</w:t>
            </w:r>
          </w:p>
          <w:tbl>
            <w:tblPr>
              <w:tblW w:type="dxa" w:w="77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740"/>
              <w:gridCol w:w="140"/>
              <w:gridCol w:w="3820"/>
            </w:tblGrid>
            <w:tr>
              <w:tc>
                <w:tcPr>
                  <w:tcW w:type="dxa" w:w="374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55" w:before="10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120"/>
                      <w:sz w:val="15"/>
                      <w:szCs w:val="15"/>
                    </w:rPr>
                    <w:t xml:space="preserve">CONSTRUCTION AI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7"/>
                      <w:szCs w:val="17"/>
                    </w:rPr>
                    <w:t xml:space="preserve">RAG and document intelligence connecting email, files, calendars, vendor history, SOPs, and project context.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7"/>
                      <w:szCs w:val="17"/>
                    </w:rPr>
                    <w:t xml:space="preserve">10–20 hours recovered per person per project</w:t>
                  </w:r>
                </w:p>
              </w:tc>
              <w:tc>
                <w:tcPr>
                  <w:tcW w:type="dxa" w:w="14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3820"/>
                  <w:tcBorders>
                    <w:top w:val="none"/>
                    <w:left w:val="none"/>
                    <w:bottom w:val="none"/>
                    <w:right w:val="none"/>
                  </w:tcBorders>
                  <w:shd w:fill="F7F8FA" w:val="clear"/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55" w:before="100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pacing w:val="120"/>
                      <w:sz w:val="15"/>
                      <w:szCs w:val="15"/>
                    </w:rPr>
                    <w:t xml:space="preserve">CIVIL ENGINEERING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color w:val="1E232B"/>
                      <w:sz w:val="17"/>
                      <w:szCs w:val="17"/>
                    </w:rPr>
                    <w:t xml:space="preserve">Five-module drainage, plan QA, compliance, and proposal-automation program.</w:t>
                  </w:r>
                </w:p>
                <w:p>
                  <w:pPr>
                    <w:spacing w:after="80" w:line="245"/>
                  </w:pPr>
                  <w:r>
                    <w:rPr>
                      <w:rFonts w:ascii="Aptos" w:cs="Aptos" w:eastAsia="Aptos" w:hAnsi="Aptos"/>
                      <w:b/>
                      <w:bCs/>
                      <w:color w:val="146C94"/>
                      <w:sz w:val="17"/>
                      <w:szCs w:val="17"/>
                    </w:rPr>
                    <w:t xml:space="preserve">Documented 80% time savings · $42K engagement</w:t>
                  </w:r>
                </w:p>
              </w:tc>
            </w:tr>
          </w:tbl>
          <w:p>
            <w:pPr>
              <w:pBdr>
                <w:bottom w:val="single" w:color="21A5B8" w:sz="10"/>
              </w:pBdr>
              <w:spacing w:after="65" w:before="130"/>
            </w:pPr>
            <w:r>
              <w:rPr>
                <w:rFonts w:ascii="Aptos" w:cs="Aptos" w:eastAsia="Aptos" w:hAnsi="Aptos"/>
                <w:b/>
                <w:bCs/>
                <w:color w:val="0D1B3D"/>
                <w:spacing w:val="80"/>
                <w:sz w:val="20"/>
                <w:szCs w:val="20"/>
              </w:rPr>
              <w:t xml:space="preserve">EDUCATION + CREDENTIALS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b/>
                <w:bCs/>
                <w:color w:val="0D1B3D"/>
                <w:sz w:val="19"/>
                <w:szCs w:val="19"/>
              </w:rPr>
              <w:t xml:space="preserve">B.S. Computer Science</w:t>
            </w:r>
            <w:r>
              <w:rPr>
                <w:rFonts w:ascii="Aptos" w:cs="Aptos" w:eastAsia="Aptos" w:hAnsi="Aptos"/>
                <w:color w:val="1E232B"/>
                <w:sz w:val="18"/>
                <w:szCs w:val="18"/>
              </w:rPr>
              <w:t xml:space="preserve"> — University of Louisiana at Lafayette, 2019</w:t>
            </w:r>
          </w:p>
          <w:p>
            <w:pPr>
              <w:spacing w:after="80" w:line="245"/>
            </w:pPr>
            <w:r>
              <w:rPr>
                <w:rFonts w:ascii="Aptos" w:cs="Aptos" w:eastAsia="Aptos" w:hAnsi="Aptos"/>
                <w:color w:val="586475"/>
                <w:sz w:val="17"/>
                <w:szCs w:val="17"/>
              </w:rPr>
              <w:t xml:space="preserve">Microsoft Azure Fundamentals  ·  Microsoft Data Engineer Associate  ·  CompTIA A+  ·  CompTIA Network+</w:t>
            </w:r>
          </w:p>
        </w:tc>
      </w:tr>
    </w:tbl>
    <w:sectPr>
      <w:pgSz w:w="12240" w:h="15840" w:orient="portrait"/>
      <w:pgMar w:top="0" w:right="840" w:bottom="5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19"/>
        <w:szCs w:val="19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8wwnpakq-oqtbwbgnab" Type="http://schemas.openxmlformats.org/officeDocument/2006/relationships/hyperlink" Target="mailto:grant@doziertechgroup.com" TargetMode="External"/><Relationship Id="rIdp-hywqzn9zekpzbeuebss" Type="http://schemas.openxmlformats.org/officeDocument/2006/relationships/hyperlink" Target="https://github.com/grantdozier" TargetMode="External"/><Relationship Id="rIdkuzsnnw7nmcnmhmvcjxm9" Type="http://schemas.openxmlformats.org/officeDocument/2006/relationships/hyperlink" Target="https://www.doziertechgroup.com" TargetMode="External"/><Relationship Id="rId7" Type="http://schemas.openxmlformats.org/officeDocument/2006/relationships/image" Target="media/5a7ed14fe602cb47c2fb080e55e99ba95fc92ee8.png"/><Relationship Id="rId8" Type="http://schemas.openxmlformats.org/officeDocument/2006/relationships/image" Target="media/056f7a767a39a81cd75ce424c9e85afd8e0c82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2026-07-15T01:41:56.427Z</dcterms:created>
  <dcterms:modified xsi:type="dcterms:W3CDTF">2026-07-15T01:41:56.428Z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