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2"/>
        <w:spacing w:after="0" w:before="0" w:lineRule="auto"/>
        <w:rPr/>
      </w:pPr>
      <w:r w:rsidDel="00000000" w:rsidR="00000000" w:rsidRPr="00000000">
        <w:rPr>
          <w:rtl w:val="0"/>
        </w:rPr>
        <w:t xml:space="preserve">1.2   Objectives </w:t>
      </w:r>
    </w:p>
    <w:p w:rsidR="00000000" w:rsidDel="00000000" w:rsidP="00000000" w:rsidRDefault="00000000" w:rsidRPr="00000000" w14:paraId="00000003">
      <w:pPr>
        <w:jc w:val="both"/>
        <w:rPr/>
      </w:pPr>
      <w:bookmarkStart w:colFirst="0" w:colLast="0" w:name="_heading=h.1ksv4uv" w:id="0"/>
      <w:bookmarkEnd w:id="0"/>
      <w:r w:rsidDel="00000000" w:rsidR="00000000" w:rsidRPr="00000000">
        <w:rPr>
          <w:b w:val="1"/>
          <w:rtl w:val="0"/>
        </w:rPr>
        <w:t xml:space="preserve">Objective 1: Discovery campaign of anti-TREM2 MiTE candidates with optimal synergistic effects.</w:t>
      </w:r>
      <w:r w:rsidDel="00000000" w:rsidR="00000000" w:rsidRPr="00000000">
        <w:rPr>
          <w:rtl w:val="0"/>
        </w:rPr>
        <w:t xml:space="preserve"> We will continue to apply our advanced multi-omics pipelines and machine learning analytics to identify the optimal pro-inflammatory cytokines to combine with our anti-TREM2 mAb. The screening is done using our </w:t>
      </w:r>
      <w:r w:rsidDel="00000000" w:rsidR="00000000" w:rsidRPr="00000000">
        <w:rPr>
          <w:i w:val="1"/>
          <w:rtl w:val="0"/>
        </w:rPr>
        <w:t xml:space="preserve">in-vitro</w:t>
      </w:r>
      <w:r w:rsidDel="00000000" w:rsidR="00000000" w:rsidRPr="00000000">
        <w:rPr>
          <w:rtl w:val="0"/>
        </w:rPr>
        <w:t xml:space="preserve"> assays for measuring the effectivity of each combination in (1) co-cultured huMDMs and NK and T cells cultures, to estimate T-NK cell activation and the proliferative potential and cytokine secretion; (2) killing assays with co-cultured huMDMs, T cells and human-derived cancer cells; and (3) our proprietary </w:t>
      </w:r>
      <w:r w:rsidDel="00000000" w:rsidR="00000000" w:rsidRPr="00000000">
        <w:rPr>
          <w:i w:val="1"/>
          <w:rtl w:val="0"/>
        </w:rPr>
        <w:t xml:space="preserve">in vivo</w:t>
      </w:r>
      <w:r w:rsidDel="00000000" w:rsidR="00000000" w:rsidRPr="00000000">
        <w:rPr>
          <w:rtl w:val="0"/>
        </w:rPr>
        <w:t xml:space="preserve"> functional single-cell screening system using Pro-Code tumor cell lines allowing inducible over-expression of cytokines, modified cytokines and cytokine combinations in the TME and spatial delineation of cytokine-driven effects, to obtain</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 molecular understanding of the downstream effects of each combined treatment, and apply machine learning approaches to select the most effective combination. </w:t>
      </w:r>
    </w:p>
    <w:p w:rsidR="00000000" w:rsidDel="00000000" w:rsidP="00000000" w:rsidRDefault="00000000" w:rsidRPr="00000000" w14:paraId="00000004">
      <w:pPr>
        <w:jc w:val="both"/>
        <w:rPr/>
      </w:pPr>
      <w:r w:rsidDel="00000000" w:rsidR="00000000" w:rsidRPr="00000000">
        <w:rPr>
          <w:b w:val="1"/>
          <w:rtl w:val="0"/>
        </w:rPr>
        <w:t xml:space="preserve">Objective 2: Develop and validate lead MiTE molecules. </w:t>
      </w:r>
      <w:r w:rsidDel="00000000" w:rsidR="00000000" w:rsidRPr="00000000">
        <w:rPr>
          <w:rtl w:val="0"/>
        </w:rPr>
        <w:t xml:space="preserve">We will develop cytokine-mAb fusion proteins based on the best performing combinations using a punctilious design process. We will validate the activity of the molecules using </w:t>
      </w:r>
      <w:r w:rsidDel="00000000" w:rsidR="00000000" w:rsidRPr="00000000">
        <w:rPr>
          <w:i w:val="1"/>
          <w:rtl w:val="0"/>
        </w:rPr>
        <w:t xml:space="preserve">in-vitro</w:t>
      </w:r>
      <w:r w:rsidDel="00000000" w:rsidR="00000000" w:rsidRPr="00000000">
        <w:rPr>
          <w:rtl w:val="0"/>
        </w:rPr>
        <w:t xml:space="preserve"> assays of co-cultured huMDMs and NK and T cells and killing assays of co-cultured huMDMs, NK and T cells and tumor cells. Specificity will be tested using huMDMs genetically depleted of TREM2 (via CRISPR ribonucleoprotein delivery), to confirm the immunocytokines are only active in a TREM2-positive niche, using our unique blocking design. In-depth single-cell and functional analysis of </w:t>
      </w:r>
      <w:r w:rsidDel="00000000" w:rsidR="00000000" w:rsidRPr="00000000">
        <w:rPr>
          <w:i w:val="1"/>
          <w:rtl w:val="0"/>
        </w:rPr>
        <w:t xml:space="preserve">in-vivo</w:t>
      </w:r>
      <w:r w:rsidDel="00000000" w:rsidR="00000000" w:rsidRPr="00000000">
        <w:rPr>
          <w:rtl w:val="0"/>
        </w:rPr>
        <w:t xml:space="preserve"> activity and toxicity of the molecules</w:t>
      </w:r>
      <w:r w:rsidDel="00000000" w:rsidR="00000000" w:rsidRPr="00000000">
        <w:rPr>
          <w:b w:val="1"/>
          <w:rtl w:val="0"/>
        </w:rPr>
        <w:t xml:space="preserve"> </w:t>
      </w:r>
      <w:r w:rsidDel="00000000" w:rsidR="00000000" w:rsidRPr="00000000">
        <w:rPr>
          <w:rtl w:val="0"/>
        </w:rPr>
        <w:t xml:space="preserve">using our humanized TREM2 animal models inoculated with different tumors will serve to understand the efficacy, toxicity, biophysical properties and immune-modulating effects of each molecule. </w:t>
      </w:r>
    </w:p>
    <w:p w:rsidR="00000000" w:rsidDel="00000000" w:rsidP="00000000" w:rsidRDefault="00000000" w:rsidRPr="00000000" w14:paraId="00000005">
      <w:pPr>
        <w:jc w:val="both"/>
        <w:rPr/>
      </w:pPr>
      <w:r w:rsidDel="00000000" w:rsidR="00000000" w:rsidRPr="00000000">
        <w:rPr>
          <w:b w:val="1"/>
          <w:rtl w:val="0"/>
        </w:rPr>
        <w:t xml:space="preserve">Objective 3: In-depth </w:t>
      </w:r>
      <w:r w:rsidDel="00000000" w:rsidR="00000000" w:rsidRPr="00000000">
        <w:rPr>
          <w:b w:val="1"/>
          <w:i w:val="1"/>
          <w:rtl w:val="0"/>
        </w:rPr>
        <w:t xml:space="preserve">in-vivo</w:t>
      </w:r>
      <w:r w:rsidDel="00000000" w:rsidR="00000000" w:rsidRPr="00000000">
        <w:rPr>
          <w:b w:val="1"/>
          <w:rtl w:val="0"/>
        </w:rPr>
        <w:t xml:space="preserve"> and </w:t>
      </w:r>
      <w:r w:rsidDel="00000000" w:rsidR="00000000" w:rsidRPr="00000000">
        <w:rPr>
          <w:b w:val="1"/>
          <w:i w:val="1"/>
          <w:rtl w:val="0"/>
        </w:rPr>
        <w:t xml:space="preserve">ex-vivo</w:t>
      </w:r>
      <w:r w:rsidDel="00000000" w:rsidR="00000000" w:rsidRPr="00000000">
        <w:rPr>
          <w:b w:val="1"/>
          <w:rtl w:val="0"/>
        </w:rPr>
        <w:t xml:space="preserve"> MoA and efficacy testing of lead MiTE molecules. </w:t>
      </w:r>
      <w:r w:rsidDel="00000000" w:rsidR="00000000" w:rsidRPr="00000000">
        <w:rPr>
          <w:rtl w:val="0"/>
        </w:rPr>
        <w:t xml:space="preserve">We will</w:t>
      </w:r>
      <w:r w:rsidDel="00000000" w:rsidR="00000000" w:rsidRPr="00000000">
        <w:rPr>
          <w:b w:val="1"/>
          <w:rtl w:val="0"/>
        </w:rPr>
        <w:t xml:space="preserve"> </w:t>
      </w:r>
      <w:r w:rsidDel="00000000" w:rsidR="00000000" w:rsidRPr="00000000">
        <w:rPr>
          <w:rtl w:val="0"/>
        </w:rPr>
        <w:t xml:space="preserve">continue the development of lead molecules for stability in large-scale production.</w:t>
      </w:r>
      <w:r w:rsidDel="00000000" w:rsidR="00000000" w:rsidRPr="00000000">
        <w:rPr>
          <w:b w:val="1"/>
          <w:rtl w:val="0"/>
        </w:rPr>
        <w:t xml:space="preserve"> </w:t>
      </w:r>
      <w:r w:rsidDel="00000000" w:rsidR="00000000" w:rsidRPr="00000000">
        <w:rPr>
          <w:rtl w:val="0"/>
        </w:rPr>
        <w:t xml:space="preserve">We will use </w:t>
      </w:r>
      <w:r w:rsidDel="00000000" w:rsidR="00000000" w:rsidRPr="00000000">
        <w:rPr>
          <w:i w:val="1"/>
          <w:rtl w:val="0"/>
        </w:rPr>
        <w:t xml:space="preserve">in-vivo</w:t>
      </w:r>
      <w:r w:rsidDel="00000000" w:rsidR="00000000" w:rsidRPr="00000000">
        <w:rPr>
          <w:rtl w:val="0"/>
        </w:rPr>
        <w:t xml:space="preserve"> tumor models and single-cell analysis to establish the specificity of the localization of the lead molecules in the TME compared to other tissues and the efficacy against different tumors, for example MHC-I deficient models, to understand the capacity of the molecules to reprogram the TME immune compartment and the specific MoA of efficacy whilst showing minimal toxicity, test dosing levels and treatment regimens in combination with anti-PD-1 or CTLA-4, and select of the lead MiTE molecules for the IND stage. Single-cell analysis of the effects of the molecules on an </w:t>
      </w:r>
      <w:r w:rsidDel="00000000" w:rsidR="00000000" w:rsidRPr="00000000">
        <w:rPr>
          <w:i w:val="1"/>
          <w:rtl w:val="0"/>
        </w:rPr>
        <w:t xml:space="preserve">ex-vivo</w:t>
      </w:r>
      <w:r w:rsidDel="00000000" w:rsidR="00000000" w:rsidRPr="00000000">
        <w:rPr>
          <w:rtl w:val="0"/>
        </w:rPr>
        <w:t xml:space="preserve"> human tumor fragment platform will be the final stage of validation of the potential of MiTE for the solid tumor treatment. </w:t>
      </w:r>
    </w:p>
    <w:p w:rsidR="00000000" w:rsidDel="00000000" w:rsidP="00000000" w:rsidRDefault="00000000" w:rsidRPr="00000000" w14:paraId="00000006">
      <w:pPr>
        <w:jc w:val="both"/>
        <w:rPr/>
      </w:pPr>
      <w:r w:rsidDel="00000000" w:rsidR="00000000" w:rsidRPr="00000000">
        <w:rPr>
          <w:b w:val="1"/>
          <w:rtl w:val="0"/>
        </w:rPr>
        <w:t xml:space="preserve">Objective 4: Demonstrate commercial feasibility and design the go-to-market strategy. </w:t>
      </w:r>
      <w:r w:rsidDel="00000000" w:rsidR="00000000" w:rsidRPr="00000000">
        <w:rPr>
          <w:rtl w:val="0"/>
        </w:rPr>
        <w:t xml:space="preserve">We will lay the foundations for the commercialization of our MiTE pipeline and its products by conducting a thorough market analysis, ensuring IP protection for our products and pipeline, and formulating a go-to-market strategy. </w:t>
      </w:r>
    </w:p>
    <w:p w:rsidR="00000000" w:rsidDel="00000000" w:rsidP="00000000" w:rsidRDefault="00000000" w:rsidRPr="00000000" w14:paraId="00000007">
      <w:pPr>
        <w:jc w:val="both"/>
        <w:rPr/>
      </w:pPr>
      <w:r w:rsidDel="00000000" w:rsidR="00000000" w:rsidRPr="00000000">
        <w:rPr>
          <w:b w:val="1"/>
          <w:rtl w:val="0"/>
        </w:rPr>
        <w:t xml:space="preserve">Objective 5: Increase awareness to our approach in the pharma and medical community. </w:t>
      </w:r>
      <w:r w:rsidDel="00000000" w:rsidR="00000000" w:rsidRPr="00000000">
        <w:rPr>
          <w:rtl w:val="0"/>
        </w:rPr>
        <w:t xml:space="preserve">We will strengthen our network and connections with prospective clients, stakeholders, academia leaders, industry players and investors to improve our standing toward commercialization. </w:t>
      </w:r>
    </w:p>
    <w:p w:rsidR="00000000" w:rsidDel="00000000" w:rsidP="00000000" w:rsidRDefault="00000000" w:rsidRPr="00000000" w14:paraId="00000008">
      <w:pPr>
        <w:widowControl w:val="1"/>
        <w:spacing w:after="160" w:line="278.00000000000006" w:lineRule="auto"/>
        <w:rPr>
          <w:color w:val="000000"/>
          <w:sz w:val="18"/>
          <w:szCs w:val="18"/>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851" w:top="851" w:left="851"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EC Square Sans Pro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tabs>
        <w:tab w:val="center" w:leader="none" w:pos="4536"/>
        <w:tab w:val="right" w:leader="none" w:pos="9072"/>
      </w:tabs>
      <w:jc w:val="center"/>
      <w:rPr>
        <w:sz w:val="20"/>
        <w:szCs w:val="20"/>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tabs>
        <w:tab w:val="center" w:leader="none" w:pos="4536"/>
        <w:tab w:val="right" w:leader="none" w:pos="9072"/>
      </w:tabs>
      <w:jc w:val="center"/>
      <w:rPr/>
    </w:pPr>
    <w:r w:rsidDel="00000000" w:rsidR="00000000" w:rsidRPr="00000000">
      <w:rPr>
        <w:sz w:val="20"/>
        <w:szCs w:val="20"/>
        <w:rtl w:val="0"/>
      </w:rPr>
      <w:t xml:space="preserve">Part B - 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20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tabs>
        <w:tab w:val="center" w:leader="none" w:pos="4536"/>
        <w:tab w:val="right" w:leader="none" w:pos="9072"/>
      </w:tabs>
      <w:rPr/>
    </w:pPr>
    <w:r w:rsidDel="00000000" w:rsidR="00000000" w:rsidRPr="00000000">
      <w:rPr>
        <w:sz w:val="20"/>
        <w:szCs w:val="20"/>
        <w:rtl w:val="0"/>
      </w:rPr>
      <w:t xml:space="preserve">EIC Transition 2022 - HORIZON-EIC-2022-TRANSITION-01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tabs>
        <w:tab w:val="center" w:leader="none" w:pos="4536"/>
        <w:tab w:val="right" w:leader="none" w:pos="10204"/>
      </w:tabs>
      <w:rPr>
        <w:sz w:val="20"/>
        <w:szCs w:val="20"/>
      </w:rPr>
    </w:pPr>
    <w:r w:rsidDel="00000000" w:rsidR="00000000" w:rsidRPr="00000000">
      <w:rPr>
        <w:sz w:val="20"/>
        <w:szCs w:val="20"/>
        <w:rtl w:val="0"/>
      </w:rPr>
      <w:t xml:space="preserve">EIC Transition 2024 - HORIZON-EIC-2024-TRANSITION-01</w:t>
      <w:tab/>
    </w:r>
    <w:r w:rsidDel="00000000" w:rsidR="00000000" w:rsidRPr="00000000">
      <w:rPr>
        <w:color w:val="222222"/>
        <w:sz w:val="20"/>
        <w:szCs w:val="20"/>
        <w:highlight w:val="white"/>
        <w:rtl w:val="0"/>
      </w:rPr>
      <w:t xml:space="preserve">MiTE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hd w:fill="bdd7ee" w:val="clear"/>
      <w:spacing w:after="60" w:before="60" w:lineRule="auto"/>
      <w:jc w:val="both"/>
    </w:pPr>
    <w:rPr>
      <w:b w:val="1"/>
    </w:rPr>
  </w:style>
  <w:style w:type="paragraph" w:styleId="Heading2">
    <w:name w:val="heading 2"/>
    <w:basedOn w:val="Normal"/>
    <w:next w:val="Normal"/>
    <w:pPr>
      <w:shd w:fill="9cc3e5" w:val="clear"/>
      <w:spacing w:after="60" w:before="60" w:lineRule="auto"/>
    </w:pPr>
    <w:rPr>
      <w:b w:val="1"/>
    </w:rPr>
  </w:style>
  <w:style w:type="paragraph" w:styleId="Heading3">
    <w:name w:val="heading 3"/>
    <w:basedOn w:val="Normal"/>
    <w:next w:val="Normal"/>
    <w:pPr>
      <w:widowControl w:val="1"/>
      <w:spacing w:after="60" w:before="60" w:lineRule="auto"/>
      <w:jc w:val="both"/>
    </w:pPr>
    <w:rPr>
      <w:rFonts w:ascii="Arial" w:cs="Arial" w:eastAsia="Arial" w:hAnsi="Arial"/>
      <w:b w:val="1"/>
      <w:color w:val="2f5496"/>
      <w:u w:val="single"/>
    </w:rPr>
  </w:style>
  <w:style w:type="paragraph" w:styleId="Heading4">
    <w:name w:val="heading 4"/>
    <w:basedOn w:val="Normal"/>
    <w:next w:val="Normal"/>
    <w:pPr>
      <w:ind w:left="146"/>
    </w:pPr>
    <w:rPr>
      <w:rFonts w:ascii="EC Square Sans Pro Light" w:cs="EC Square Sans Pro Light" w:eastAsia="EC Square Sans Pro Light" w:hAnsi="EC Square Sans Pro Light"/>
      <w:sz w:val="30"/>
      <w:szCs w:val="30"/>
    </w:rPr>
  </w:style>
  <w:style w:type="paragraph" w:styleId="Heading5">
    <w:name w:val="heading 5"/>
    <w:basedOn w:val="Normal"/>
    <w:next w:val="Normal"/>
    <w:pPr>
      <w:ind w:left="833"/>
    </w:pPr>
    <w:rPr>
      <w:rFonts w:ascii="Times New Roman" w:cs="Times New Roman" w:eastAsia="Times New Roman" w:hAnsi="Times New Roman"/>
      <w:b w:val="1"/>
      <w:sz w:val="24"/>
      <w:szCs w:val="24"/>
    </w:rPr>
  </w:style>
  <w:style w:type="paragraph" w:styleId="Heading6">
    <w:name w:val="heading 6"/>
    <w:basedOn w:val="Normal"/>
    <w:next w:val="Normal"/>
    <w:pPr>
      <w:ind w:left="833"/>
    </w:pPr>
    <w:rPr>
      <w:rFonts w:ascii="Times New Roman" w:cs="Times New Roman" w:eastAsia="Times New Roman" w:hAnsi="Times New Roman"/>
      <w:b w:val="1"/>
      <w:i w:val="1"/>
      <w:sz w:val="24"/>
      <w:szCs w:val="24"/>
    </w:rPr>
  </w:style>
  <w:style w:type="paragraph" w:styleId="Title">
    <w:name w:val="Title"/>
    <w:basedOn w:val="Normal"/>
    <w:next w:val="Normal"/>
    <w:pPr>
      <w:widowControl w:val="1"/>
      <w:spacing w:after="160" w:line="259" w:lineRule="auto"/>
      <w:jc w:val="center"/>
    </w:pPr>
    <w:rPr>
      <w:b w:val="1"/>
    </w:rPr>
  </w:style>
  <w:style w:type="paragraph" w:styleId="a" w:default="1">
    <w:name w:val="Normal"/>
    <w:qFormat w:val="1"/>
    <w:rPr>
      <w:color w:val="000000"/>
    </w:rPr>
  </w:style>
  <w:style w:type="paragraph" w:styleId="1">
    <w:name w:val="heading 1"/>
    <w:basedOn w:val="a"/>
    <w:next w:val="a"/>
    <w:link w:val="10"/>
    <w:uiPriority w:val="9"/>
    <w:qFormat w:val="1"/>
    <w:rsid w:val="00A74913"/>
    <w:pPr>
      <w:shd w:color="auto" w:fill="bdd6ee" w:themeFill="accent5" w:themeFillTint="000066" w:val="clear"/>
      <w:spacing w:after="60" w:before="60"/>
      <w:jc w:val="both"/>
      <w:outlineLvl w:val="0"/>
    </w:pPr>
    <w:rPr>
      <w:b w:val="1"/>
      <w:bCs w:val="1"/>
      <w:lang w:bidi="ar-SA"/>
    </w:rPr>
  </w:style>
  <w:style w:type="paragraph" w:styleId="2">
    <w:name w:val="heading 2"/>
    <w:basedOn w:val="a"/>
    <w:next w:val="a"/>
    <w:link w:val="20"/>
    <w:uiPriority w:val="9"/>
    <w:unhideWhenUsed w:val="1"/>
    <w:qFormat w:val="1"/>
    <w:rsid w:val="00AF1A77"/>
    <w:pPr>
      <w:shd w:color="auto" w:fill="9cc2e5" w:themeFill="accent5" w:themeFillTint="000099" w:val="clear"/>
      <w:spacing w:after="60" w:before="60"/>
      <w:outlineLvl w:val="1"/>
    </w:pPr>
    <w:rPr>
      <w:b w:val="1"/>
      <w:bCs w:val="1"/>
      <w:lang w:bidi="ar-SA"/>
    </w:rPr>
  </w:style>
  <w:style w:type="paragraph" w:styleId="3">
    <w:name w:val="heading 3"/>
    <w:basedOn w:val="a"/>
    <w:next w:val="a"/>
    <w:link w:val="30"/>
    <w:uiPriority w:val="9"/>
    <w:unhideWhenUsed w:val="1"/>
    <w:qFormat w:val="1"/>
    <w:pPr>
      <w:widowControl w:val="1"/>
      <w:spacing w:after="60" w:before="60"/>
      <w:jc w:val="both"/>
      <w:outlineLvl w:val="2"/>
    </w:pPr>
    <w:rPr>
      <w:rFonts w:ascii="Arial" w:cs="Arial" w:hAnsi="Arial"/>
      <w:b w:val="1"/>
      <w:bCs w:val="1"/>
      <w:color w:val="2f5496"/>
      <w:u w:val="single"/>
    </w:rPr>
  </w:style>
  <w:style w:type="paragraph" w:styleId="4">
    <w:name w:val="heading 4"/>
    <w:basedOn w:val="a"/>
    <w:next w:val="a"/>
    <w:link w:val="40"/>
    <w:uiPriority w:val="9"/>
    <w:semiHidden w:val="1"/>
    <w:unhideWhenUsed w:val="1"/>
    <w:qFormat w:val="1"/>
    <w:pPr>
      <w:ind w:left="146"/>
      <w:outlineLvl w:val="3"/>
    </w:pPr>
    <w:rPr>
      <w:rFonts w:ascii="EC Square Sans Pro Light" w:cs="EC Square Sans Pro Light" w:hAnsi="EC Square Sans Pro Light"/>
      <w:sz w:val="30"/>
      <w:szCs w:val="30"/>
    </w:rPr>
  </w:style>
  <w:style w:type="paragraph" w:styleId="5">
    <w:name w:val="heading 5"/>
    <w:basedOn w:val="a"/>
    <w:next w:val="a"/>
    <w:link w:val="50"/>
    <w:uiPriority w:val="9"/>
    <w:semiHidden w:val="1"/>
    <w:unhideWhenUsed w:val="1"/>
    <w:qFormat w:val="1"/>
    <w:pPr>
      <w:ind w:left="833"/>
      <w:outlineLvl w:val="4"/>
    </w:pPr>
    <w:rPr>
      <w:rFonts w:ascii="Times New Roman" w:cs="Times New Roman" w:hAnsi="Times New Roman"/>
      <w:b w:val="1"/>
      <w:bCs w:val="1"/>
      <w:sz w:val="24"/>
      <w:szCs w:val="24"/>
    </w:rPr>
  </w:style>
  <w:style w:type="paragraph" w:styleId="6">
    <w:name w:val="heading 6"/>
    <w:basedOn w:val="a"/>
    <w:next w:val="a"/>
    <w:link w:val="60"/>
    <w:uiPriority w:val="9"/>
    <w:semiHidden w:val="1"/>
    <w:unhideWhenUsed w:val="1"/>
    <w:qFormat w:val="1"/>
    <w:pPr>
      <w:ind w:left="833"/>
      <w:outlineLvl w:val="5"/>
    </w:pPr>
    <w:rPr>
      <w:rFonts w:ascii="Times New Roman" w:cs="Times New Roman" w:hAnsi="Times New Roman"/>
      <w:b w:val="1"/>
      <w:bCs w:val="1"/>
      <w:i w:val="1"/>
      <w:iCs w:val="1"/>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a3">
    <w:name w:val="Title"/>
    <w:basedOn w:val="a"/>
    <w:link w:val="a4"/>
    <w:uiPriority w:val="10"/>
    <w:qFormat w:val="1"/>
    <w:rsid w:val="00A74913"/>
    <w:pPr>
      <w:widowControl w:val="1"/>
      <w:spacing w:after="160" w:line="259" w:lineRule="auto"/>
      <w:jc w:val="center"/>
    </w:pPr>
    <w:rPr>
      <w:b w:val="1"/>
      <w:bCs w:val="1"/>
      <w:lang w:bidi="ar-SA"/>
    </w:rPr>
  </w:style>
  <w:style w:type="character" w:styleId="20" w:customStyle="1">
    <w:name w:val="כותרת 2 תו"/>
    <w:basedOn w:val="a0"/>
    <w:link w:val="2"/>
    <w:uiPriority w:val="9"/>
    <w:locked w:val="1"/>
    <w:rsid w:val="00AF1A77"/>
    <w:rPr>
      <w:rFonts w:ascii="Calibri" w:cs="Calibri" w:hAnsi="Calibri"/>
      <w:b w:val="1"/>
      <w:bCs w:val="1"/>
      <w:color w:val="000000"/>
      <w:shd w:color="auto" w:fill="9cc2e5" w:themeFill="accent5" w:themeFillTint="000099" w:val="clear"/>
      <w:lang w:bidi="ar-SA" w:eastAsia="en-US" w:val="en-US"/>
    </w:rPr>
  </w:style>
  <w:style w:type="character" w:styleId="30" w:customStyle="1">
    <w:name w:val="כותרת 3 תו"/>
    <w:basedOn w:val="a0"/>
    <w:link w:val="3"/>
    <w:uiPriority w:val="9"/>
    <w:semiHidden w:val="1"/>
    <w:locked w:val="1"/>
    <w:rPr>
      <w:rFonts w:cs="Times New Roman" w:asciiTheme="majorHAnsi" w:eastAsiaTheme="majorEastAsia" w:hAnsiTheme="majorHAnsi"/>
      <w:b w:val="1"/>
      <w:bCs w:val="1"/>
      <w:color w:val="000000"/>
      <w:sz w:val="26"/>
      <w:szCs w:val="26"/>
    </w:rPr>
  </w:style>
  <w:style w:type="character" w:styleId="40" w:customStyle="1">
    <w:name w:val="כותרת 4 תו"/>
    <w:basedOn w:val="a0"/>
    <w:link w:val="4"/>
    <w:uiPriority w:val="9"/>
    <w:semiHidden w:val="1"/>
    <w:locked w:val="1"/>
    <w:rPr>
      <w:rFonts w:cs="Arial" w:asciiTheme="minorHAnsi" w:eastAsiaTheme="minorEastAsia" w:hAnsiTheme="minorHAnsi"/>
      <w:b w:val="1"/>
      <w:bCs w:val="1"/>
      <w:color w:val="000000"/>
      <w:sz w:val="28"/>
      <w:szCs w:val="28"/>
    </w:rPr>
  </w:style>
  <w:style w:type="character" w:styleId="50" w:customStyle="1">
    <w:name w:val="כותרת 5 תו"/>
    <w:basedOn w:val="a0"/>
    <w:link w:val="5"/>
    <w:uiPriority w:val="9"/>
    <w:semiHidden w:val="1"/>
    <w:locked w:val="1"/>
    <w:rPr>
      <w:rFonts w:cs="Arial" w:asciiTheme="minorHAnsi" w:eastAsiaTheme="minorEastAsia" w:hAnsiTheme="minorHAnsi"/>
      <w:b w:val="1"/>
      <w:bCs w:val="1"/>
      <w:i w:val="1"/>
      <w:iCs w:val="1"/>
      <w:color w:val="000000"/>
      <w:sz w:val="26"/>
      <w:szCs w:val="26"/>
    </w:rPr>
  </w:style>
  <w:style w:type="character" w:styleId="60" w:customStyle="1">
    <w:name w:val="כותרת 6 תו"/>
    <w:basedOn w:val="a0"/>
    <w:link w:val="6"/>
    <w:uiPriority w:val="9"/>
    <w:semiHidden w:val="1"/>
    <w:locked w:val="1"/>
    <w:rPr>
      <w:rFonts w:cs="Arial" w:asciiTheme="minorHAnsi" w:eastAsiaTheme="minorEastAsia" w:hAnsiTheme="minorHAnsi"/>
      <w:b w:val="1"/>
      <w:bCs w:val="1"/>
      <w:color w:val="000000"/>
    </w:rPr>
  </w:style>
  <w:style w:type="character" w:styleId="10" w:customStyle="1">
    <w:name w:val="כותרת 1 תו"/>
    <w:basedOn w:val="a0"/>
    <w:link w:val="1"/>
    <w:uiPriority w:val="9"/>
    <w:locked w:val="1"/>
    <w:rsid w:val="00A74913"/>
    <w:rPr>
      <w:rFonts w:ascii="Calibri" w:cs="Calibri" w:hAnsi="Calibri"/>
      <w:b w:val="1"/>
      <w:bCs w:val="1"/>
      <w:color w:val="000000"/>
      <w:shd w:color="auto" w:fill="bdd6ee" w:themeFill="accent5" w:themeFillTint="000066" w:val="clear"/>
      <w:lang w:bidi="ar-SA" w:eastAsia="en-US" w:val="en-US"/>
    </w:rPr>
  </w:style>
  <w:style w:type="paragraph" w:styleId="a5">
    <w:name w:val="Subtitle"/>
    <w:basedOn w:val="a"/>
    <w:next w:val="a"/>
    <w:link w:val="a6"/>
    <w:uiPriority w:val="11"/>
    <w:qFormat w:val="1"/>
    <w:pPr>
      <w:keepNext w:val="1"/>
      <w:keepLines w:val="1"/>
      <w:spacing w:after="80" w:before="360"/>
    </w:pPr>
    <w:rPr>
      <w:rFonts w:ascii="Georgia" w:cs="Georgia" w:eastAsia="Georgia" w:hAnsi="Georgia"/>
      <w:i w:val="1"/>
      <w:color w:val="666666"/>
      <w:sz w:val="48"/>
      <w:szCs w:val="48"/>
    </w:rPr>
  </w:style>
  <w:style w:type="character" w:styleId="a4" w:customStyle="1">
    <w:name w:val="כותרת טקסט תו"/>
    <w:basedOn w:val="a0"/>
    <w:link w:val="a3"/>
    <w:uiPriority w:val="10"/>
    <w:locked w:val="1"/>
    <w:rsid w:val="00A74913"/>
    <w:rPr>
      <w:rFonts w:ascii="Calibri" w:cs="Calibri" w:hAnsi="Calibri"/>
      <w:b w:val="1"/>
      <w:bCs w:val="1"/>
      <w:color w:val="000000"/>
      <w:lang w:bidi="ar-SA" w:eastAsia="en-US" w:val="en-US"/>
    </w:rPr>
  </w:style>
  <w:style w:type="character" w:styleId="a7">
    <w:name w:val="annotation reference"/>
    <w:basedOn w:val="a0"/>
    <w:uiPriority w:val="99"/>
    <w:rPr>
      <w:rFonts w:cs="Times New Roman"/>
      <w:sz w:val="16"/>
      <w:szCs w:val="16"/>
    </w:rPr>
  </w:style>
  <w:style w:type="character" w:styleId="a6" w:customStyle="1">
    <w:name w:val="כותרת משנה תו"/>
    <w:basedOn w:val="a0"/>
    <w:link w:val="a5"/>
    <w:uiPriority w:val="11"/>
    <w:locked w:val="1"/>
    <w:rPr>
      <w:rFonts w:cs="Times New Roman" w:asciiTheme="majorHAnsi" w:eastAsiaTheme="majorEastAsia" w:hAnsiTheme="majorHAnsi"/>
      <w:color w:val="000000"/>
      <w:sz w:val="24"/>
      <w:szCs w:val="24"/>
    </w:rPr>
  </w:style>
  <w:style w:type="character" w:styleId="a8">
    <w:name w:val="footnote reference"/>
    <w:basedOn w:val="a0"/>
    <w:uiPriority w:val="99"/>
    <w:rPr>
      <w:rFonts w:cs="Times New Roman"/>
      <w:vertAlign w:val="superscript"/>
    </w:rPr>
  </w:style>
  <w:style w:type="paragraph" w:styleId="a9">
    <w:name w:val="footnote text"/>
    <w:basedOn w:val="a"/>
    <w:link w:val="aa"/>
    <w:uiPriority w:val="99"/>
    <w:rPr>
      <w:sz w:val="20"/>
      <w:szCs w:val="20"/>
    </w:rPr>
  </w:style>
  <w:style w:type="paragraph" w:styleId="ab">
    <w:name w:val="Revision"/>
    <w:hidden w:val="1"/>
    <w:uiPriority w:val="99"/>
    <w:semiHidden w:val="1"/>
    <w:locked w:val="1"/>
    <w:rsid w:val="00985A08"/>
    <w:rPr>
      <w:color w:val="000000"/>
    </w:rPr>
  </w:style>
  <w:style w:type="character" w:styleId="aa" w:customStyle="1">
    <w:name w:val="טקסט הערת שוליים תו"/>
    <w:basedOn w:val="a0"/>
    <w:link w:val="a9"/>
    <w:uiPriority w:val="99"/>
    <w:semiHidden w:val="1"/>
    <w:locked w:val="1"/>
    <w:rPr>
      <w:rFonts w:ascii="Calibri" w:cs="Calibri" w:hAnsi="Calibri"/>
      <w:color w:val="000000"/>
      <w:sz w:val="20"/>
      <w:szCs w:val="20"/>
    </w:rPr>
  </w:style>
  <w:style w:type="paragraph" w:styleId="ac">
    <w:name w:val="annotation text"/>
    <w:basedOn w:val="a"/>
    <w:link w:val="ad"/>
    <w:uiPriority w:val="99"/>
    <w:rsid w:val="003A7DFE"/>
    <w:rPr>
      <w:sz w:val="20"/>
      <w:szCs w:val="20"/>
    </w:rPr>
  </w:style>
  <w:style w:type="paragraph" w:styleId="ae">
    <w:name w:val="annotation subject"/>
    <w:basedOn w:val="ac"/>
    <w:next w:val="ac"/>
    <w:link w:val="af"/>
    <w:uiPriority w:val="99"/>
    <w:rsid w:val="003A7DFE"/>
    <w:rPr>
      <w:b w:val="1"/>
      <w:bCs w:val="1"/>
    </w:rPr>
  </w:style>
  <w:style w:type="character" w:styleId="ad" w:customStyle="1">
    <w:name w:val="טקסט הערה תו"/>
    <w:basedOn w:val="a0"/>
    <w:link w:val="ac"/>
    <w:uiPriority w:val="99"/>
    <w:locked w:val="1"/>
    <w:rsid w:val="003A7DFE"/>
    <w:rPr>
      <w:rFonts w:ascii="Calibri" w:cs="Calibri" w:hAnsi="Calibri"/>
      <w:color w:val="000000"/>
      <w:sz w:val="20"/>
      <w:szCs w:val="20"/>
    </w:rPr>
  </w:style>
  <w:style w:type="paragraph" w:styleId="spacer" w:customStyle="1">
    <w:name w:val="spacer"/>
    <w:link w:val="spacerChar"/>
    <w:qFormat w:val="1"/>
    <w:rsid w:val="00AF1A77"/>
    <w:pPr>
      <w:spacing w:line="60" w:lineRule="exact"/>
    </w:pPr>
    <w:rPr>
      <w:color w:val="000000"/>
      <w:lang w:bidi="ar-SA"/>
    </w:rPr>
  </w:style>
  <w:style w:type="character" w:styleId="af" w:customStyle="1">
    <w:name w:val="נושא הערה תו"/>
    <w:basedOn w:val="ad"/>
    <w:link w:val="ae"/>
    <w:uiPriority w:val="99"/>
    <w:locked w:val="1"/>
    <w:rsid w:val="003A7DFE"/>
    <w:rPr>
      <w:rFonts w:ascii="Calibri" w:cs="Calibri" w:hAnsi="Calibri"/>
      <w:b w:val="1"/>
      <w:bCs w:val="1"/>
      <w:color w:val="000000"/>
      <w:sz w:val="20"/>
      <w:szCs w:val="20"/>
    </w:rPr>
  </w:style>
  <w:style w:type="character" w:styleId="spacerChar" w:customStyle="1">
    <w:name w:val="spacer Char"/>
    <w:basedOn w:val="a0"/>
    <w:link w:val="spacer"/>
    <w:locked w:val="1"/>
    <w:rsid w:val="00AF1A77"/>
    <w:rPr>
      <w:rFonts w:ascii="Calibri" w:cs="Calibri" w:hAnsi="Calibri"/>
      <w:color w:val="000000"/>
      <w:lang w:bidi="ar-SA" w:eastAsia="x-none" w:val="en-US"/>
    </w:rPr>
  </w:style>
  <w:style w:type="paragraph" w:styleId="NormalWeb">
    <w:name w:val="Normal (Web)"/>
    <w:basedOn w:val="a"/>
    <w:uiPriority w:val="99"/>
    <w:unhideWhenUsed w:val="1"/>
    <w:rsid w:val="00AC29D8"/>
    <w:pPr>
      <w:widowControl w:val="1"/>
      <w:spacing w:after="100" w:afterAutospacing="1" w:before="100" w:beforeAutospacing="1"/>
    </w:pPr>
    <w:rPr>
      <w:rFonts w:ascii="Times New Roman" w:cs="Times New Roman" w:hAnsi="Times New Roman"/>
      <w:color w:val="auto"/>
      <w:sz w:val="24"/>
      <w:szCs w:val="24"/>
    </w:rPr>
  </w:style>
  <w:style w:type="character" w:styleId="af0">
    <w:name w:val="Emphasis"/>
    <w:basedOn w:val="a0"/>
    <w:uiPriority w:val="20"/>
    <w:qFormat w:val="1"/>
    <w:locked w:val="1"/>
    <w:rsid w:val="005908A9"/>
    <w:rPr>
      <w:i w:val="1"/>
      <w:iCs w:val="1"/>
    </w:rPr>
  </w:style>
  <w:style w:type="paragraph" w:styleId="af1">
    <w:name w:val="Balloon Text"/>
    <w:basedOn w:val="a"/>
    <w:link w:val="af2"/>
    <w:rsid w:val="00162DDA"/>
    <w:rPr>
      <w:rFonts w:ascii="Segoe UI" w:cs="Segoe UI" w:hAnsi="Segoe UI"/>
      <w:sz w:val="18"/>
      <w:szCs w:val="18"/>
    </w:rPr>
  </w:style>
  <w:style w:type="character" w:styleId="af2" w:customStyle="1">
    <w:name w:val="טקסט בלונים תו"/>
    <w:basedOn w:val="a0"/>
    <w:link w:val="af1"/>
    <w:rsid w:val="00162DDA"/>
    <w:rPr>
      <w:rFonts w:ascii="Segoe UI" w:cs="Segoe UI" w:hAnsi="Segoe UI"/>
      <w:color w:val="000000"/>
      <w:sz w:val="18"/>
      <w:szCs w:val="18"/>
    </w:rPr>
  </w:style>
  <w:style w:type="paragraph" w:styleId="af3">
    <w:name w:val="header"/>
    <w:basedOn w:val="a"/>
    <w:link w:val="af4"/>
    <w:rsid w:val="00162DDA"/>
    <w:pPr>
      <w:tabs>
        <w:tab w:val="center" w:pos="4513"/>
        <w:tab w:val="right" w:pos="9026"/>
      </w:tabs>
    </w:pPr>
  </w:style>
  <w:style w:type="character" w:styleId="af4" w:customStyle="1">
    <w:name w:val="כותרת עליונה תו"/>
    <w:basedOn w:val="a0"/>
    <w:link w:val="af3"/>
    <w:rsid w:val="00162DDA"/>
    <w:rPr>
      <w:rFonts w:ascii="Calibri" w:cs="Calibri" w:hAnsi="Calibri"/>
      <w:color w:val="000000"/>
    </w:rPr>
  </w:style>
  <w:style w:type="paragraph" w:styleId="af5">
    <w:name w:val="footer"/>
    <w:basedOn w:val="a"/>
    <w:link w:val="af6"/>
    <w:rsid w:val="00162DDA"/>
    <w:pPr>
      <w:tabs>
        <w:tab w:val="center" w:pos="4513"/>
        <w:tab w:val="right" w:pos="9026"/>
      </w:tabs>
    </w:pPr>
  </w:style>
  <w:style w:type="character" w:styleId="af6" w:customStyle="1">
    <w:name w:val="כותרת תחתונה תו"/>
    <w:basedOn w:val="a0"/>
    <w:link w:val="af5"/>
    <w:rsid w:val="00162DDA"/>
    <w:rPr>
      <w:rFonts w:ascii="Calibri" w:cs="Calibri" w:hAnsi="Calibri"/>
      <w:color w:val="000000"/>
    </w:rPr>
  </w:style>
  <w:style w:type="table" w:styleId="16" w:customStyle="1">
    <w:name w:val="16"/>
    <w:basedOn w:val="TableNormal1"/>
    <w:tblPr>
      <w:tblStyleRowBandSize w:val="1"/>
      <w:tblStyleColBandSize w:val="1"/>
      <w:tblCellMar>
        <w:left w:w="115.0" w:type="dxa"/>
        <w:right w:w="115.0" w:type="dxa"/>
      </w:tblCellMar>
    </w:tblPr>
  </w:style>
  <w:style w:type="table" w:styleId="15" w:customStyle="1">
    <w:name w:val="15"/>
    <w:basedOn w:val="TableNormal1"/>
    <w:tblPr>
      <w:tblStyleRowBandSize w:val="1"/>
      <w:tblStyleColBandSize w:val="1"/>
      <w:tblCellMar>
        <w:left w:w="115.0" w:type="dxa"/>
        <w:right w:w="115.0" w:type="dxa"/>
      </w:tblCellMar>
    </w:tblPr>
  </w:style>
  <w:style w:type="table" w:styleId="14" w:customStyle="1">
    <w:name w:val="14"/>
    <w:basedOn w:val="TableNormal1"/>
    <w:tblPr>
      <w:tblStyleRowBandSize w:val="1"/>
      <w:tblStyleColBandSize w:val="1"/>
      <w:tblCellMar>
        <w:left w:w="115.0" w:type="dxa"/>
        <w:right w:w="115.0" w:type="dxa"/>
      </w:tblCellMar>
    </w:tblPr>
  </w:style>
  <w:style w:type="table" w:styleId="13" w:customStyle="1">
    <w:name w:val="13"/>
    <w:basedOn w:val="TableNormal1"/>
    <w:tblPr>
      <w:tblStyleRowBandSize w:val="1"/>
      <w:tblStyleColBandSize w:val="1"/>
      <w:tblCellMar>
        <w:left w:w="115.0" w:type="dxa"/>
        <w:right w:w="115.0" w:type="dxa"/>
      </w:tblCellMar>
    </w:tblPr>
  </w:style>
  <w:style w:type="table" w:styleId="12" w:customStyle="1">
    <w:name w:val="12"/>
    <w:basedOn w:val="TableNormal1"/>
    <w:tblPr>
      <w:tblStyleRowBandSize w:val="1"/>
      <w:tblStyleColBandSize w:val="1"/>
      <w:tblCellMar>
        <w:left w:w="115.0" w:type="dxa"/>
        <w:right w:w="115.0" w:type="dxa"/>
      </w:tblCellMar>
    </w:tblPr>
  </w:style>
  <w:style w:type="table" w:styleId="11" w:customStyle="1">
    <w:name w:val="11"/>
    <w:basedOn w:val="TableNormal1"/>
    <w:tblPr>
      <w:tblStyleRowBandSize w:val="1"/>
      <w:tblStyleColBandSize w:val="1"/>
      <w:tblCellMar>
        <w:left w:w="115.0" w:type="dxa"/>
        <w:right w:w="115.0" w:type="dxa"/>
      </w:tblCellMar>
    </w:tblPr>
  </w:style>
  <w:style w:type="table" w:styleId="100" w:customStyle="1">
    <w:name w:val="10"/>
    <w:basedOn w:val="TableNormal1"/>
    <w:tblPr>
      <w:tblStyleRowBandSize w:val="1"/>
      <w:tblStyleColBandSize w:val="1"/>
      <w:tblCellMar>
        <w:left w:w="115.0" w:type="dxa"/>
        <w:right w:w="115.0" w:type="dxa"/>
      </w:tblCellMar>
    </w:tblPr>
  </w:style>
  <w:style w:type="table" w:styleId="9" w:customStyle="1">
    <w:name w:val="9"/>
    <w:basedOn w:val="TableNormal1"/>
    <w:tblPr>
      <w:tblStyleRowBandSize w:val="1"/>
      <w:tblStyleColBandSize w:val="1"/>
      <w:tblCellMar>
        <w:left w:w="115.0" w:type="dxa"/>
        <w:right w:w="115.0" w:type="dxa"/>
      </w:tblCellMar>
    </w:tblPr>
  </w:style>
  <w:style w:type="table" w:styleId="8" w:customStyle="1">
    <w:name w:val="8"/>
    <w:basedOn w:val="TableNormal1"/>
    <w:tblPr>
      <w:tblStyleRowBandSize w:val="1"/>
      <w:tblStyleColBandSize w:val="1"/>
      <w:tblCellMar>
        <w:left w:w="115.0" w:type="dxa"/>
        <w:right w:w="115.0" w:type="dxa"/>
      </w:tblCellMar>
    </w:tblPr>
  </w:style>
  <w:style w:type="table" w:styleId="7" w:customStyle="1">
    <w:name w:val="7"/>
    <w:basedOn w:val="TableNormal1"/>
    <w:tblPr>
      <w:tblStyleRowBandSize w:val="1"/>
      <w:tblStyleColBandSize w:val="1"/>
      <w:tblCellMar>
        <w:left w:w="115.0" w:type="dxa"/>
        <w:right w:w="115.0" w:type="dxa"/>
      </w:tblCellMar>
    </w:tblPr>
  </w:style>
  <w:style w:type="table" w:styleId="61" w:customStyle="1">
    <w:name w:val="6"/>
    <w:basedOn w:val="TableNormal1"/>
    <w:tblPr>
      <w:tblStyleRowBandSize w:val="1"/>
      <w:tblStyleColBandSize w:val="1"/>
      <w:tblCellMar>
        <w:left w:w="115.0" w:type="dxa"/>
        <w:right w:w="115.0" w:type="dxa"/>
      </w:tblCellMar>
    </w:tblPr>
  </w:style>
  <w:style w:type="table" w:styleId="51" w:customStyle="1">
    <w:name w:val="5"/>
    <w:basedOn w:val="TableNormal1"/>
    <w:tblPr>
      <w:tblStyleRowBandSize w:val="1"/>
      <w:tblStyleColBandSize w:val="1"/>
      <w:tblCellMar>
        <w:left w:w="115.0" w:type="dxa"/>
        <w:right w:w="115.0" w:type="dxa"/>
      </w:tblCellMar>
    </w:tblPr>
  </w:style>
  <w:style w:type="table" w:styleId="41" w:customStyle="1">
    <w:name w:val="4"/>
    <w:basedOn w:val="TableNormal1"/>
    <w:tblPr>
      <w:tblStyleRowBandSize w:val="1"/>
      <w:tblStyleColBandSize w:val="1"/>
      <w:tblCellMar>
        <w:left w:w="115.0" w:type="dxa"/>
        <w:right w:w="115.0" w:type="dxa"/>
      </w:tblCellMar>
    </w:tblPr>
  </w:style>
  <w:style w:type="table" w:styleId="31" w:customStyle="1">
    <w:name w:val="3"/>
    <w:basedOn w:val="TableNormal1"/>
    <w:tblPr>
      <w:tblStyleRowBandSize w:val="1"/>
      <w:tblStyleColBandSize w:val="1"/>
      <w:tblCellMar>
        <w:left w:w="115.0" w:type="dxa"/>
        <w:right w:w="115.0" w:type="dxa"/>
      </w:tblCellMar>
    </w:tblPr>
  </w:style>
  <w:style w:type="table" w:styleId="21" w:customStyle="1">
    <w:name w:val="2"/>
    <w:basedOn w:val="TableNormal1"/>
    <w:tblPr>
      <w:tblStyleRowBandSize w:val="1"/>
      <w:tblStyleColBandSize w:val="1"/>
      <w:tblCellMar>
        <w:left w:w="115.0" w:type="dxa"/>
        <w:right w:w="115.0" w:type="dxa"/>
      </w:tblCellMar>
    </w:tblPr>
  </w:style>
  <w:style w:type="table" w:styleId="17" w:customStyle="1">
    <w:name w:val="1"/>
    <w:basedOn w:val="TableNormal1"/>
    <w:tblPr>
      <w:tblStyleRowBandSize w:val="1"/>
      <w:tblStyleColBandSize w:val="1"/>
      <w:tblCellMar>
        <w:left w:w="115.0" w:type="dxa"/>
        <w:right w:w="115.0" w:type="dxa"/>
      </w:tblCellMar>
    </w:tblPr>
  </w:style>
  <w:style w:type="paragraph" w:styleId="af7">
    <w:name w:val="List Paragraph"/>
    <w:aliases w:val="Dot pt,F5 List Paragraph,List Paragraph1,No Spacing1,List Paragraph Char Char Char,Indicator Text,Numbered Para 1,Bullet Points,MAIN CONTENT,List Paragraph12,Bullet 1,OBC Bullet,Colorful List - Accent 11,List Paragraph2,Task Body,Nad"/>
    <w:basedOn w:val="a"/>
    <w:link w:val="af8"/>
    <w:uiPriority w:val="34"/>
    <w:qFormat w:val="1"/>
    <w:rsid w:val="002C2390"/>
    <w:pPr>
      <w:ind w:left="720"/>
      <w:contextualSpacing w:val="1"/>
    </w:pPr>
  </w:style>
  <w:style w:type="table" w:styleId="af9">
    <w:name w:val="Table Grid"/>
    <w:basedOn w:val="a1"/>
    <w:uiPriority w:val="39"/>
    <w:rsid w:val="00AA0F6E"/>
    <w:pPr>
      <w:widowControl w:val="1"/>
    </w:pPr>
    <w:rPr>
      <w:rFonts w:cs="Times New Roman" w:eastAsia="Times New Roman"/>
      <w:sz w:val="20"/>
      <w:szCs w:val="20"/>
      <w:lang w:bidi="ar-SA" w:eastAsia="en-GB"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a">
    <w:name w:val="Strong"/>
    <w:basedOn w:val="a0"/>
    <w:uiPriority w:val="22"/>
    <w:qFormat w:val="1"/>
    <w:rsid w:val="008B4202"/>
    <w:rPr>
      <w:b w:val="1"/>
      <w:bCs w:val="1"/>
    </w:rPr>
  </w:style>
  <w:style w:type="character" w:styleId="Hyperlink">
    <w:name w:val="Hyperlink"/>
    <w:basedOn w:val="a0"/>
    <w:uiPriority w:val="99"/>
    <w:unhideWhenUsed w:val="1"/>
    <w:rsid w:val="00A93669"/>
    <w:rPr>
      <w:color w:val="0000ff"/>
      <w:u w:val="single"/>
    </w:rPr>
  </w:style>
  <w:style w:type="character" w:styleId="af8" w:customStyle="1">
    <w:name w:val="פיסקת רשימה תו"/>
    <w:aliases w:val="Dot pt תו,F5 List Paragraph תו,List Paragraph1 תו,No Spacing1 תו,List Paragraph Char Char Char תו,Indicator Text תו,Numbered Para 1 תו,Bullet Points תו,MAIN CONTENT תו,List Paragraph12 תו,Bullet 1 תו,OBC Bullet תו,List Paragraph2 תו"/>
    <w:basedOn w:val="a0"/>
    <w:link w:val="af7"/>
    <w:uiPriority w:val="34"/>
    <w:qFormat w:val="1"/>
    <w:locked w:val="1"/>
    <w:rsid w:val="00F87782"/>
    <w:rPr>
      <w:color w:val="000000"/>
    </w:rPr>
  </w:style>
  <w:style w:type="character" w:styleId="normaltextrun" w:customStyle="1">
    <w:name w:val="normaltextrun"/>
    <w:basedOn w:val="a0"/>
    <w:rsid w:val="00225A6F"/>
  </w:style>
  <w:style w:type="character" w:styleId="afb">
    <w:name w:val="Unresolved Mention"/>
    <w:basedOn w:val="a0"/>
    <w:uiPriority w:val="99"/>
    <w:semiHidden w:val="1"/>
    <w:unhideWhenUsed w:val="1"/>
    <w:rsid w:val="00A47EF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Gwl+0HZVOAQiHCeksj9id6tiA==">CgMxLjAyCWguMWtzdjR1djgAciExVFVfMnV5cTlSUDF2XzZuZFJTbkVMbDhzVVRIUjVtNUM=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2024-09-18T12:28:00Z</dcterms:created>
  <dc:creator>Natalie Page</dc:creator>
</cp:coreProperties>
</file>