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sz w:val="16"/>
          <w:szCs w:val="16"/>
        </w:rPr>
      </w:pPr>
      <w:r w:rsidDel="00000000" w:rsidR="00000000" w:rsidRPr="00000000">
        <w:rPr>
          <w:rtl w:val="0"/>
        </w:rPr>
      </w:r>
    </w:p>
    <w:p w:rsidR="00000000" w:rsidDel="00000000" w:rsidP="00000000" w:rsidRDefault="00000000" w:rsidRPr="00000000" w14:paraId="00000003">
      <w:pPr>
        <w:pStyle w:val="Heading1"/>
        <w:numPr>
          <w:ilvl w:val="0"/>
          <w:numId w:val="2"/>
        </w:numPr>
        <w:spacing w:after="0" w:before="0" w:lineRule="auto"/>
        <w:ind w:left="360" w:hanging="360"/>
        <w:rPr>
          <w:color w:val="000000"/>
          <w:sz w:val="18"/>
          <w:szCs w:val="18"/>
        </w:rPr>
      </w:pPr>
      <w:bookmarkStart w:colFirst="0" w:colLast="0" w:name="_heading=h.1fob9te" w:id="0"/>
      <w:bookmarkEnd w:id="0"/>
      <w:r w:rsidDel="00000000" w:rsidR="00000000" w:rsidRPr="00000000">
        <w:rPr>
          <w:rtl w:val="0"/>
        </w:rPr>
        <w:t xml:space="preserve">EXCELLENCE  </w:t>
      </w:r>
      <w:r w:rsidDel="00000000" w:rsidR="00000000" w:rsidRPr="00000000">
        <w:rPr>
          <w:color w:val="b5b5b5"/>
          <w:sz w:val="18"/>
          <w:szCs w:val="18"/>
          <w:rtl w:val="0"/>
        </w:rPr>
        <w:t xml:space="preserve">#@REL-EVA-RE@# </w:t>
      </w:r>
      <w:r w:rsidDel="00000000" w:rsidR="00000000" w:rsidRPr="00000000">
        <w:rPr>
          <w:rtl w:val="0"/>
        </w:rPr>
      </w:r>
    </w:p>
    <w:p w:rsidR="00000000" w:rsidDel="00000000" w:rsidP="00000000" w:rsidRDefault="00000000" w:rsidRPr="00000000" w14:paraId="00000004">
      <w:pPr>
        <w:ind w:firstLine="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Immunotherapy holds great promise for the curative treatment of millions of cancer patients worldwide, with a market size of ~168 billion USD today, which is expected to almost double in the next decade. Yet, current immunotherapies, even in immune-infiltrated tumors, have largely shown significant clinical success only against a limited number of cancers, for two major reasons: I) insufficient anti-tumor immune activation or II) severe side-effects and toxicity because of non-specific immune activation. Our novel class of immunotherapeutic molecules called</w:t>
      </w:r>
      <w:r w:rsidDel="00000000" w:rsidR="00000000" w:rsidRPr="00000000">
        <w:rPr>
          <w:b w:val="1"/>
          <w:rtl w:val="0"/>
        </w:rPr>
        <w:t xml:space="preserve"> </w:t>
      </w:r>
      <w:r w:rsidDel="00000000" w:rsidR="00000000" w:rsidRPr="00000000">
        <w:rPr>
          <w:b w:val="1"/>
          <w:i w:val="1"/>
          <w:rtl w:val="0"/>
        </w:rPr>
        <w:t xml:space="preserve">M</w:t>
      </w:r>
      <w:r w:rsidDel="00000000" w:rsidR="00000000" w:rsidRPr="00000000">
        <w:rPr>
          <w:i w:val="1"/>
          <w:rtl w:val="0"/>
        </w:rPr>
        <w:t xml:space="preserve">yeloid-targeted </w:t>
      </w:r>
      <w:r w:rsidDel="00000000" w:rsidR="00000000" w:rsidRPr="00000000">
        <w:rPr>
          <w:b w:val="1"/>
          <w:i w:val="1"/>
          <w:rtl w:val="0"/>
        </w:rPr>
        <w:t xml:space="preserve">i</w:t>
      </w:r>
      <w:r w:rsidDel="00000000" w:rsidR="00000000" w:rsidRPr="00000000">
        <w:rPr>
          <w:i w:val="1"/>
          <w:rtl w:val="0"/>
        </w:rPr>
        <w:t xml:space="preserve">mmunocytokine and NK-</w:t>
      </w:r>
      <w:r w:rsidDel="00000000" w:rsidR="00000000" w:rsidRPr="00000000">
        <w:rPr>
          <w:b w:val="1"/>
          <w:i w:val="1"/>
          <w:rtl w:val="0"/>
        </w:rPr>
        <w:t xml:space="preserve">T</w:t>
      </w:r>
      <w:r w:rsidDel="00000000" w:rsidR="00000000" w:rsidRPr="00000000">
        <w:rPr>
          <w:i w:val="1"/>
          <w:rtl w:val="0"/>
        </w:rPr>
        <w:t xml:space="preserve"> cell </w:t>
      </w:r>
      <w:r w:rsidDel="00000000" w:rsidR="00000000" w:rsidRPr="00000000">
        <w:rPr>
          <w:b w:val="1"/>
          <w:i w:val="1"/>
          <w:rtl w:val="0"/>
        </w:rPr>
        <w:t xml:space="preserve">E</w:t>
      </w:r>
      <w:r w:rsidDel="00000000" w:rsidR="00000000" w:rsidRPr="00000000">
        <w:rPr>
          <w:i w:val="1"/>
          <w:rtl w:val="0"/>
        </w:rPr>
        <w:t xml:space="preserve">nhancer</w:t>
      </w:r>
      <w:r w:rsidDel="00000000" w:rsidR="00000000" w:rsidRPr="00000000">
        <w:rPr>
          <w:b w:val="1"/>
          <w:i w:val="1"/>
          <w:rtl w:val="0"/>
        </w:rPr>
        <w:t xml:space="preserve">s</w:t>
      </w:r>
      <w:r w:rsidDel="00000000" w:rsidR="00000000" w:rsidRPr="00000000">
        <w:rPr>
          <w:b w:val="1"/>
          <w:rtl w:val="0"/>
        </w:rPr>
        <w:t xml:space="preserve"> </w:t>
      </w:r>
      <w:r w:rsidDel="00000000" w:rsidR="00000000" w:rsidRPr="00000000">
        <w:rPr>
          <w:rtl w:val="0"/>
        </w:rPr>
        <w:t xml:space="preserve">(</w:t>
      </w:r>
      <w:r w:rsidDel="00000000" w:rsidR="00000000" w:rsidRPr="00000000">
        <w:rPr>
          <w:b w:val="1"/>
          <w:i w:val="1"/>
          <w:rtl w:val="0"/>
        </w:rPr>
        <w:t xml:space="preserve">MiTEs</w:t>
      </w:r>
      <w:r w:rsidDel="00000000" w:rsidR="00000000" w:rsidRPr="00000000">
        <w:rPr>
          <w:rtl w:val="0"/>
        </w:rPr>
        <w:t xml:space="preserve">) (</w:t>
      </w:r>
      <w:r w:rsidDel="00000000" w:rsidR="00000000" w:rsidRPr="00000000">
        <w:rPr>
          <w:b w:val="1"/>
          <w:rtl w:val="0"/>
        </w:rPr>
        <w:t xml:space="preserve">Fig.1</w:t>
      </w:r>
      <w:r w:rsidDel="00000000" w:rsidR="00000000" w:rsidRPr="00000000">
        <w:rPr>
          <w:rtl w:val="0"/>
        </w:rPr>
        <w:t xml:space="preserve">) are set to overcome these two challenges by </w:t>
      </w:r>
      <w:r w:rsidDel="00000000" w:rsidR="00000000" w:rsidRPr="00000000">
        <w:rPr>
          <w:b w:val="1"/>
          <w:rtl w:val="0"/>
        </w:rPr>
        <w:t xml:space="preserve">initiating a</w:t>
      </w:r>
      <w:r w:rsidDel="00000000" w:rsidR="00000000" w:rsidRPr="00000000">
        <w:rPr>
          <w:rtl w:val="0"/>
        </w:rPr>
        <w:t xml:space="preserve"> </w:t>
      </w:r>
      <w:r w:rsidDel="00000000" w:rsidR="00000000" w:rsidRPr="00000000">
        <w:rPr>
          <w:b w:val="1"/>
          <w:rtl w:val="0"/>
        </w:rPr>
        <w:t xml:space="preserve">highly TME-targeted and extremely potent anti-tumor immune response in tumors resistant to the current generation of ICBs. </w:t>
      </w:r>
      <w:r w:rsidDel="00000000" w:rsidR="00000000" w:rsidRPr="00000000">
        <w:rPr>
          <w:rtl w:val="0"/>
        </w:rPr>
        <w:t xml:space="preserve">This</w:t>
      </w:r>
      <w:r w:rsidDel="00000000" w:rsidR="00000000" w:rsidRPr="00000000">
        <w:rPr>
          <w:b w:val="1"/>
          <w:rtl w:val="0"/>
        </w:rPr>
        <w:t xml:space="preserve"> </w:t>
      </w:r>
      <w:r w:rsidDel="00000000" w:rsidR="00000000" w:rsidRPr="00000000">
        <w:rPr>
          <w:rtl w:val="0"/>
        </w:rPr>
        <w:t xml:space="preserve">effect is expected due to our </w:t>
      </w:r>
      <w:r w:rsidDel="00000000" w:rsidR="00000000" w:rsidRPr="00000000">
        <w:rPr>
          <w:b w:val="1"/>
          <w:rtl w:val="0"/>
        </w:rPr>
        <w:t xml:space="preserve">unique molecular design: fused compounds that simultaneously modulate the myeloid, NK and T cell arms </w:t>
      </w:r>
      <w:r w:rsidDel="00000000" w:rsidR="00000000" w:rsidRPr="00000000">
        <w:rPr>
          <w:rtl w:val="0"/>
        </w:rPr>
        <w:t xml:space="preserve">in the TME.</w:t>
      </w:r>
      <w:r w:rsidDel="00000000" w:rsidR="00000000" w:rsidRPr="00000000">
        <w:rPr>
          <w:b w:val="1"/>
          <w:rtl w:val="0"/>
        </w:rPr>
        <w:t xml:space="preserve"> </w:t>
      </w:r>
      <w:r w:rsidDel="00000000" w:rsidR="00000000" w:rsidRPr="00000000">
        <w:rPr>
          <w:rtl w:val="0"/>
        </w:rPr>
        <w:t xml:space="preserve">In MiTE, we will use a hybrid approach to predict, design and develop an antibody-cytokine fusion protein (immunocytokine) for enhanced specificity both via </w:t>
      </w:r>
      <w:r w:rsidDel="00000000" w:rsidR="00000000" w:rsidRPr="00000000">
        <w:rPr>
          <w:i w:val="1"/>
          <w:rtl w:val="0"/>
        </w:rPr>
        <w:t xml:space="preserve">myeloid </w:t>
      </w:r>
      <w:r w:rsidDel="00000000" w:rsidR="00000000" w:rsidRPr="00000000">
        <w:rPr>
          <w:rtl w:val="0"/>
        </w:rPr>
        <w:t xml:space="preserve">reprogramming—centered on our discovery of TREM2 as a potent myeloid checkpoint—and via potent TME-conditioned NK and T cell activation. Our team's unique multidisciplinary expertise in cancer immunology, single-cell multiomics technologies, antibody development and engineering, AI and corporate establishment provides an ideal setting for implementing for developing the next generation of dual-arm immunotherapies that overcome the limitations of today’s cancer treatments.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current TRL status.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development of the project is currently at TRL4, after the successful development of initial PoC immunocytokine constructs demonstrating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vitro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potent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efficacy. </w:t>
      </w:r>
    </w:p>
    <w:p w:rsidR="00000000" w:rsidDel="00000000" w:rsidP="00000000" w:rsidRDefault="00000000" w:rsidRPr="00000000" w14:paraId="00000005">
      <w:pPr>
        <w:keepNext w:val="0"/>
        <w:keepLines w:val="0"/>
        <w:pageBreakBefore w:val="0"/>
        <w:widowControl w:val="0"/>
        <w:numPr>
          <w:ilvl w:val="0"/>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284" w:right="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R&amp;D milestones already achieved.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completed several crucial development milestones: (I) identification of the TREM2 pathway for myeloid cell modulation. (II) Development of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vitro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humanized TREM2 screening system using transgenic mice. (III) Development of a potent, specific anti-human TREM2 lead antibody. (IV) Development of effective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vitro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screening systems for cytokines, immunocytokines and prototype TREM2-antibody. (V) Development of prototype modified cytokines and engineering of a blocking moiety for TME-specific activation without any measurable systemic toxicity.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VI) Validation of highly potent MiTE molecules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and demonstration of their unique mode of action and potent efficacy and molecular effects compared to current ICB or T cell-targeted immunocytokines.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MiTE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MoA data shows a deeper and more potent immune activation involving NK cells in the TME following treatment (5-fold more) compared to current ICBs or T cell-focused immunocytokines, which are limited by major histocompatibility complex class I (MHC-I) loss and other tumor mechanisms disarming T cell immunity. </w:t>
      </w:r>
    </w:p>
    <w:p w:rsidR="00000000" w:rsidDel="00000000" w:rsidP="00000000" w:rsidRDefault="00000000" w:rsidRPr="00000000" w14:paraId="00000006">
      <w:pPr>
        <w:keepNext w:val="0"/>
        <w:keepLines w:val="0"/>
        <w:pageBreakBefore w:val="0"/>
        <w:widowControl w:val="0"/>
        <w:numPr>
          <w:ilvl w:val="0"/>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TRL aimed for at the end of the project.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project is intended to advance the development beyond TRL5 – to screen and develop the most potent molecules and to demonstrate their efficacy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model organisms, and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patient-derived tumor fragments, advancing the products to the IND stage and partnering with biotech/pharma towards advancing the lead molecule to a phase 1 clinical trial.</w:t>
      </w:r>
      <w:r w:rsidDel="00000000" w:rsidR="00000000" w:rsidRPr="00000000">
        <w:rPr>
          <w:rtl w:val="0"/>
        </w:rPr>
      </w:r>
    </w:p>
    <w:p w:rsidR="00000000" w:rsidDel="00000000" w:rsidP="00000000" w:rsidRDefault="00000000" w:rsidRPr="00000000" w14:paraId="00000007">
      <w:pPr>
        <w:pStyle w:val="Heading2"/>
        <w:spacing w:after="0" w:before="0" w:lineRule="auto"/>
        <w:rPr/>
      </w:pPr>
      <w:bookmarkStart w:colFirst="0" w:colLast="0" w:name="_heading=h.2et92p0" w:id="1"/>
      <w:bookmarkEnd w:id="1"/>
      <w:r w:rsidDel="00000000" w:rsidR="00000000" w:rsidRPr="00000000">
        <w:rPr>
          <w:rtl w:val="0"/>
        </w:rPr>
        <w:t xml:space="preserve">1.1   Technological breakthrough - A novel class of immunotherapeutics for solid tumors </w:t>
      </w:r>
      <w:r w:rsidDel="00000000" w:rsidR="00000000" w:rsidRPr="00000000">
        <w:rPr>
          <w:color w:val="b5b5b5"/>
          <w:sz w:val="18"/>
          <w:szCs w:val="18"/>
          <w:rtl w:val="0"/>
        </w:rPr>
        <w:t xml:space="preserve">#@PRJ-OBJ-PO@#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177800</wp:posOffset>
                </wp:positionV>
                <wp:extent cx="6504940" cy="2840355"/>
                <wp:effectExtent b="0" l="0" r="0" t="0"/>
                <wp:wrapSquare wrapText="bothSides" distB="0" distT="0" distL="114300" distR="114300"/>
                <wp:docPr id="2135458716" name=""/>
                <a:graphic>
                  <a:graphicData uri="http://schemas.microsoft.com/office/word/2010/wordprocessingGroup">
                    <wpg:wgp>
                      <wpg:cNvGrpSpPr/>
                      <wpg:grpSpPr>
                        <a:xfrm>
                          <a:off x="2094150" y="2359875"/>
                          <a:ext cx="6504940" cy="2840355"/>
                          <a:chOff x="2094150" y="2359875"/>
                          <a:chExt cx="6503700" cy="2840250"/>
                        </a:xfrm>
                      </wpg:grpSpPr>
                      <wpg:grpSp>
                        <wpg:cNvGrpSpPr/>
                        <wpg:grpSpPr>
                          <a:xfrm>
                            <a:off x="2094157" y="2359879"/>
                            <a:ext cx="6503687" cy="2840242"/>
                            <a:chOff x="1253" y="113"/>
                            <a:chExt cx="6503762" cy="2840692"/>
                          </a:xfrm>
                        </wpg:grpSpPr>
                        <wps:wsp>
                          <wps:cNvSpPr/>
                          <wps:cNvPr id="3" name="Shape 3"/>
                          <wps:spPr>
                            <a:xfrm>
                              <a:off x="1253" y="113"/>
                              <a:ext cx="6503750" cy="2840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1253" y="113"/>
                              <a:ext cx="6474493" cy="2640738"/>
                            </a:xfrm>
                            <a:prstGeom prst="rect">
                              <a:avLst/>
                            </a:prstGeom>
                            <a:noFill/>
                            <a:ln>
                              <a:noFill/>
                            </a:ln>
                          </pic:spPr>
                        </pic:pic>
                        <wps:wsp>
                          <wps:cNvSpPr/>
                          <wps:cNvPr id="5" name="Shape 5"/>
                          <wps:spPr>
                            <a:xfrm>
                              <a:off x="76910" y="2584360"/>
                              <a:ext cx="6428105" cy="256445"/>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1"/>
                                    <w:smallCaps w:val="0"/>
                                    <w:strike w:val="0"/>
                                    <w:color w:val="000000"/>
                                    <w:sz w:val="18"/>
                                    <w:vertAlign w:val="baseline"/>
                                  </w:rPr>
                                  <w:t xml:space="preserve">Figure 2</w:t>
                                </w:r>
                                <w:r w:rsidDel="00000000" w:rsidR="00000000" w:rsidRPr="00000000">
                                  <w:rPr>
                                    <w:rFonts w:ascii="Calibri" w:cs="Calibri" w:eastAsia="Calibri" w:hAnsi="Calibri"/>
                                    <w:b w:val="0"/>
                                    <w:i w:val="1"/>
                                    <w:smallCaps w:val="0"/>
                                    <w:strike w:val="0"/>
                                    <w:color w:val="000000"/>
                                    <w:sz w:val="18"/>
                                    <w:vertAlign w:val="baseline"/>
                                  </w:rPr>
                                  <w:t xml:space="preserve">: Pipeline for the development of novel MiTE therapeutics.</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177800</wp:posOffset>
                </wp:positionV>
                <wp:extent cx="6504940" cy="2840355"/>
                <wp:effectExtent b="0" l="0" r="0" t="0"/>
                <wp:wrapSquare wrapText="bothSides" distB="0" distT="0" distL="114300" distR="114300"/>
                <wp:docPr id="2135458716"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504940" cy="2840355"/>
                        </a:xfrm>
                        <a:prstGeom prst="rect"/>
                        <a:ln/>
                      </pic:spPr>
                    </pic:pic>
                  </a:graphicData>
                </a:graphic>
              </wp:anchor>
            </w:drawing>
          </mc:Fallback>
        </mc:AlternateContent>
      </w:r>
    </w:p>
    <w:p w:rsidR="00000000" w:rsidDel="00000000" w:rsidP="00000000" w:rsidRDefault="00000000" w:rsidRPr="00000000" w14:paraId="00000008">
      <w:pPr>
        <w:ind w:firstLine="284"/>
        <w:jc w:val="both"/>
        <w:rPr/>
      </w:pPr>
      <w:bookmarkStart w:colFirst="0" w:colLast="0" w:name="_heading=h.tyjcwt" w:id="2"/>
      <w:bookmarkEnd w:id="2"/>
      <w:r w:rsidDel="00000000" w:rsidR="00000000" w:rsidRPr="00000000">
        <w:rPr>
          <w:b w:val="1"/>
          <w:rtl w:val="0"/>
        </w:rPr>
        <w:t xml:space="preserve">Our </w:t>
      </w:r>
      <w:r w:rsidDel="00000000" w:rsidR="00000000" w:rsidRPr="00000000">
        <w:rPr>
          <w:b w:val="1"/>
          <w:u w:val="single"/>
          <w:rtl w:val="0"/>
        </w:rPr>
        <w:t xml:space="preserve">value proposition</w:t>
      </w:r>
      <w:r w:rsidDel="00000000" w:rsidR="00000000" w:rsidRPr="00000000">
        <w:rPr>
          <w:b w:val="1"/>
          <w:rtl w:val="0"/>
        </w:rPr>
        <w:t xml:space="preserve"> is a disruptive platform (Fig.2) for the design and generation of dual (myeloid and NK-T) immune modulatory agents that effectively eradicate solid tumors while minimizing toxicity, undesired side-effects and avoiding major tumor resistance mechanisms. </w:t>
      </w:r>
      <w:r w:rsidDel="00000000" w:rsidR="00000000" w:rsidRPr="00000000">
        <w:rPr>
          <w:rtl w:val="0"/>
        </w:rPr>
        <w:t xml:space="preserve">Termed</w:t>
      </w:r>
      <w:r w:rsidDel="00000000" w:rsidR="00000000" w:rsidRPr="00000000">
        <w:rPr>
          <w:b w:val="1"/>
          <w:rtl w:val="0"/>
        </w:rPr>
        <w:t xml:space="preserve"> MiTE</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our</w:t>
      </w:r>
      <w:r w:rsidDel="00000000" w:rsidR="00000000" w:rsidRPr="00000000">
        <w:rPr>
          <w:b w:val="1"/>
          <w:rtl w:val="0"/>
        </w:rPr>
        <w:t xml:space="preserve"> </w:t>
      </w:r>
      <w:r w:rsidDel="00000000" w:rsidR="00000000" w:rsidRPr="00000000">
        <w:rPr>
          <w:rtl w:val="0"/>
        </w:rPr>
        <w:t xml:space="preserve">potent </w:t>
      </w:r>
      <w:r w:rsidDel="00000000" w:rsidR="00000000" w:rsidRPr="00000000">
        <w:rPr>
          <w:i w:val="1"/>
          <w:rtl w:val="0"/>
        </w:rPr>
        <w:t xml:space="preserve">trans</w:t>
      </w:r>
      <w:r w:rsidDel="00000000" w:rsidR="00000000" w:rsidRPr="00000000">
        <w:rPr>
          <w:rtl w:val="0"/>
        </w:rPr>
        <w:t xml:space="preserve">-acting molecules will be designed to efficiently block the TREM2 receptor on immunosuppressive TAMs, thereby reprograming them toward a pro-inflammatory monocyte-like cell state. They will also comprise other pro-inflammatory elements (cytokines) that have been shown to be too toxic for clinical use as a systemic treatment. By fusing them to our anti-TREM2 mAb, the cytokines obtain </w:t>
      </w:r>
      <w:r w:rsidDel="00000000" w:rsidR="00000000" w:rsidRPr="00000000">
        <w:rPr>
          <w:b w:val="1"/>
          <w:rtl w:val="0"/>
        </w:rPr>
        <w:t xml:space="preserve">tumor-targeting specificity</w:t>
      </w:r>
      <w:r w:rsidDel="00000000" w:rsidR="00000000" w:rsidRPr="00000000">
        <w:rPr>
          <w:rtl w:val="0"/>
        </w:rPr>
        <w:t xml:space="preserve"> and can mediate a synergistic effect with the TREM2 treatment arm. Conditional and tumor macrophage specific activation of the cytokines in response to TME-specific signals, through tumor-macrophage proteases, will further enhance the TME-specificity and safety profiles of our MiTEs while allowing potent activation of cytotoxic T and NK cells in the TME (</w:t>
      </w:r>
      <w:r w:rsidDel="00000000" w:rsidR="00000000" w:rsidRPr="00000000">
        <w:rPr>
          <w:b w:val="1"/>
          <w:rtl w:val="0"/>
        </w:rPr>
        <w:t xml:space="preserve">Fig.4</w:t>
      </w:r>
      <w:r w:rsidDel="00000000" w:rsidR="00000000" w:rsidRPr="00000000">
        <w:rPr>
          <w:rtl w:val="0"/>
        </w:rPr>
        <w:t xml:space="preserve">). Of note, the proposed platform, in combination with our advanced single-cell multiomic tools for deciphering the circuitry and crosstalk of the immune system, could also be used to develop first-of-their-kind immunotherapies for other diseases, ranging from autoimmunity to neurodegeneration. This expertise will serve as the foundation for our NewCo.</w:t>
      </w:r>
    </w:p>
    <w:p w:rsidR="00000000" w:rsidDel="00000000" w:rsidP="00000000" w:rsidRDefault="00000000" w:rsidRPr="00000000" w14:paraId="00000009">
      <w:pPr>
        <w:pStyle w:val="Heading3"/>
        <w:widowControl w:val="0"/>
        <w:spacing w:after="0" w:before="0" w:lineRule="auto"/>
        <w:rPr>
          <w:b w:val="0"/>
        </w:rPr>
      </w:pPr>
      <w:bookmarkStart w:colFirst="0" w:colLast="0" w:name="_heading=h.3dy6vkm" w:id="3"/>
      <w:bookmarkEnd w:id="3"/>
      <w:r w:rsidDel="00000000" w:rsidR="00000000" w:rsidRPr="00000000">
        <w:rPr>
          <w:rFonts w:ascii="Calibri" w:cs="Calibri" w:eastAsia="Calibri" w:hAnsi="Calibri"/>
          <w:rtl w:val="0"/>
        </w:rPr>
        <w:t xml:space="preserve">Our immunotherapeutic agents’ novelty and competitive advantage</w:t>
      </w:r>
      <w:r w:rsidDel="00000000" w:rsidR="00000000" w:rsidRPr="00000000">
        <w:rPr>
          <w:rtl w:val="0"/>
        </w:rPr>
      </w:r>
    </w:p>
    <w:p w:rsidR="00000000" w:rsidDel="00000000" w:rsidP="00000000" w:rsidRDefault="00000000" w:rsidRPr="00000000" w14:paraId="0000000A">
      <w:pPr>
        <w:ind w:firstLine="284"/>
        <w:jc w:val="both"/>
        <w:rPr/>
      </w:pPr>
      <w:r w:rsidDel="00000000" w:rsidR="00000000" w:rsidRPr="00000000">
        <w:rPr>
          <w:b w:val="1"/>
          <w:i w:val="1"/>
          <w:color w:val="2f5496"/>
          <w:rtl w:val="0"/>
        </w:rPr>
        <w:t xml:space="preserve">Targeting the myeloid compartment. </w:t>
      </w:r>
      <w:r w:rsidDel="00000000" w:rsidR="00000000" w:rsidRPr="00000000">
        <w:rPr>
          <w:rtl w:val="0"/>
        </w:rPr>
        <w:t xml:space="preserve">The focus of current immunotherapies is typically on T cells, enhancing T cell effector functions, or CAR-T cell therapy against tumor antigens. In contrast, here we propose to target the myeloid cell compartment. A major advantage of focusing on myeloid cells rather than T cells is that it allows to modulate the immunosuppressive activity of TAMs and, hence, reprogram the TME towards an immunoinflammatory environment. In addition, unlike current ICB or T cell-based immunocytokines, which activate mainly the T cell arm, targeting the myeloid compartment prevents the possibility of ICB resistance due to antigen loss or down-regulation of MHC-I by the tumor cells</w:t>
      </w:r>
      <w:r w:rsidDel="00000000" w:rsidR="00000000" w:rsidRPr="00000000">
        <w:rPr>
          <w:vertAlign w:val="superscript"/>
          <w:rtl w:val="0"/>
        </w:rPr>
        <w:t xml:space="preserve">5</w:t>
      </w:r>
      <w:r w:rsidDel="00000000" w:rsidR="00000000" w:rsidRPr="00000000">
        <w:rPr>
          <w:rtl w:val="0"/>
        </w:rPr>
        <w:t xml:space="preserve">. Our approach of myeloid targeting and cytokine trans-activation allows potent activation of all cytokine-responsive cells in the TME spanning T and NK cell arms. Importantly, NK cell populations are activated by MHC-I loss signals and hence can be very effective even in anti-PD-1 unresponsive tumors, including potential patients with mutations in the MHC-I pathway. Our focus on TREM2 is based on the finding that the abundance of TREM2</w:t>
      </w:r>
      <w:r w:rsidDel="00000000" w:rsidR="00000000" w:rsidRPr="00000000">
        <w:rPr>
          <w:vertAlign w:val="superscript"/>
          <w:rtl w:val="0"/>
        </w:rPr>
        <w:t xml:space="preserve">high </w:t>
      </w:r>
      <w:r w:rsidDel="00000000" w:rsidR="00000000" w:rsidRPr="00000000">
        <w:rPr>
          <w:rtl w:val="0"/>
        </w:rPr>
        <w:t xml:space="preserve">TAMs strongly correlates with resistance to ICB therapy, with ~15-fold higher prevalence in non-responders versus responders</w:t>
      </w:r>
      <w:r w:rsidDel="00000000" w:rsidR="00000000" w:rsidRPr="00000000">
        <w:rPr>
          <w:vertAlign w:val="superscript"/>
          <w:rtl w:val="0"/>
        </w:rPr>
        <w:t xml:space="preserve">6</w:t>
      </w:r>
      <w:r w:rsidDel="00000000" w:rsidR="00000000" w:rsidRPr="00000000">
        <w:rPr>
          <w:rtl w:val="0"/>
        </w:rPr>
        <w:t xml:space="preserve">. Furthermore, our in-depth MoA studies highlight TREM2 as a highly pathology-specific pathway, expressed almost exclusively on immunosuppressive myeloid cells in the TME of most solid human tumors, thoroughly discussed in our review</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0B">
      <w:pPr>
        <w:jc w:val="both"/>
        <w:rPr>
          <w:b w:val="1"/>
        </w:rPr>
      </w:pPr>
      <w:r w:rsidDel="00000000" w:rsidR="00000000" w:rsidRPr="00000000">
        <w:rPr>
          <w:rtl w:val="0"/>
        </w:rPr>
        <w:t xml:space="preserve">The potential and feasibility of myeloid cell modulation for cancer therapy can be gathered from the extensive development efforts of several pharma companies centered on targeting myeloid checkpoints in tumors, including all major big pharma and myeloid focused biotech’s such as Innate Pharma, Forty Seven Pharma (acquired by Gilead Sciences) and Macrophage Pharma focusing on diverse targets such immunoglobulin-like transcript (ILT4) and TREM2. The significant potential of the TREM2-focused pathway is evidenced by several scientific studies, including our data (presented herein). The strongest testament to the technological leap we have made in myeloid-based therapeutics through single-cell genomic technologies and AI is the leading big pharma’s overwhelming interest in licensing our technologies and molecules—showing our unique capacity to identify novel immunotherapy targets and develop them toward therapeutics to the highest industry standards. However, to the best of our knowledge, </w:t>
      </w:r>
      <w:r w:rsidDel="00000000" w:rsidR="00000000" w:rsidRPr="00000000">
        <w:rPr>
          <w:b w:val="1"/>
          <w:rtl w:val="0"/>
        </w:rPr>
        <w:t xml:space="preserve">all current myeloid programs, while showing high safety, are challenged by low efficacy as single agents</w:t>
      </w:r>
      <w:r w:rsidDel="00000000" w:rsidR="00000000" w:rsidRPr="00000000">
        <w:rPr>
          <w:rtl w:val="0"/>
        </w:rPr>
        <w:t xml:space="preserve">. </w:t>
      </w:r>
      <w:r w:rsidDel="00000000" w:rsidR="00000000" w:rsidRPr="00000000">
        <w:rPr>
          <w:b w:val="1"/>
          <w:rtl w:val="0"/>
        </w:rPr>
        <w:t xml:space="preserve">Hence, our program’s focus on developing dual-modulatory MiTE on the backbone of anti-TREM2 mAbs gives it a significant competitive advantage over all current myeloid-focused therapies in development.</w:t>
      </w:r>
    </w:p>
    <w:p w:rsidR="00000000" w:rsidDel="00000000" w:rsidP="00000000" w:rsidRDefault="00000000" w:rsidRPr="00000000" w14:paraId="0000000C">
      <w:pPr>
        <w:jc w:val="both"/>
        <w:rPr/>
      </w:pPr>
      <w:r w:rsidDel="00000000" w:rsidR="00000000" w:rsidRPr="00000000">
        <w:rPr>
          <w:rtl w:val="0"/>
        </w:rPr>
        <w:t xml:space="preserve">To the best of our knowledge, the only other antibody developed today to reduce the activity of potent immuno-suppressive TREM2-expressing cells in the TME is Pionyr Immunotherapeutics’s PY-3174, currently under development for the treatment of a range of solid tumors. PY-3174 is a humanized monoclonal antibody developed to trigger Fc-mediated effector activities inducing the depletion of TREM2-expressing cells. By selectively depleting TREM2-positive TAMs, the drug candidate supposedly generates a pro-inflammatory TME that leads to preclinical tumor growth delay. Our TREM2-blocking antibody has several major advantages over Pionyr’s antibody-dependent cell-mediated cytotoxicity (ADCC) approach. First, FcγR-mediated effector activities are known to be stronger in mouse tumor models than in human patients, and these effector functions have not been successfully translated to the clinic yet. Therefore, the complete elimination of immunosuppressive TAMs in human TME will be challenging, thus resulting in limited efficacy for TREM2 ADCC-based MoA, as demonstrated by recent data</w:t>
      </w:r>
      <w:r w:rsidDel="00000000" w:rsidR="00000000" w:rsidRPr="00000000">
        <w:rPr>
          <w:vertAlign w:val="superscript"/>
          <w:rtl w:val="0"/>
        </w:rPr>
        <w:t xml:space="preserve">7</w:t>
      </w:r>
      <w:r w:rsidDel="00000000" w:rsidR="00000000" w:rsidRPr="00000000">
        <w:rPr>
          <w:rtl w:val="0"/>
        </w:rPr>
        <w:t xml:space="preserve">. In contrast, our TREM2-blocking approach enables effective translation from mouse models to human therapy as it targets shared and conserved mechanisms. In addition, reprogramming TAMs toward pro-inflammatory monocyte-like cells should have stronger, longer-lasting anti-tumor effects compared to episodic depletion of the TAMs from the TME using the ADCC approach. Another significant advantage of our approach is that it enables the generation of a novel pipeline of potent MiTEs that activate different arms of the immune system in</w:t>
      </w:r>
      <w:r w:rsidDel="00000000" w:rsidR="00000000" w:rsidRPr="00000000">
        <w:rPr>
          <w:i w:val="1"/>
          <w:rtl w:val="0"/>
        </w:rPr>
        <w:t xml:space="preserve"> trans</w:t>
      </w:r>
      <w:r w:rsidDel="00000000" w:rsidR="00000000" w:rsidRPr="00000000">
        <w:rPr>
          <w:rtl w:val="0"/>
        </w:rPr>
        <w:t xml:space="preserve">. Thus, to the best of our knowledge, our MiTEs have no competition in development, and have a first-in-class potential. </w:t>
      </w:r>
    </w:p>
    <w:p w:rsidR="00000000" w:rsidDel="00000000" w:rsidP="00000000" w:rsidRDefault="00000000" w:rsidRPr="00000000" w14:paraId="0000000D">
      <w:pPr>
        <w:ind w:firstLine="284"/>
        <w:jc w:val="both"/>
        <w:rPr/>
      </w:pPr>
      <w:r w:rsidDel="00000000" w:rsidR="00000000" w:rsidRPr="00000000">
        <w:rPr>
          <w:b w:val="1"/>
          <w:i w:val="1"/>
          <w:color w:val="2f5496"/>
          <w:rtl w:val="0"/>
        </w:rPr>
        <w:t xml:space="preserve">TME-specific activation of cytokines.</w:t>
      </w:r>
      <w:r w:rsidDel="00000000" w:rsidR="00000000" w:rsidRPr="00000000">
        <w:rPr>
          <w:rtl w:val="0"/>
        </w:rPr>
        <w:t xml:space="preserve"> The role of cytokines as mediators of cell-to-cell communication have made them highly attractive for therapeutic purposes, especially in cancer. Yet, so far, only two cytokine monotherapies have been clinically approved (IFN-α2b and IL-2)—and both have only relatively modest clinical success. This failure is primarily due to cytokines’ limited stability, short half-life and lack of tumor specificity. As the instability and short half-life necessitate systemic treatments to allow high cytokine doses within the TME to induce a sufficient anti-tumor response, the consequence is </w:t>
      </w:r>
      <w:r w:rsidDel="00000000" w:rsidR="00000000" w:rsidRPr="00000000">
        <w:rPr>
          <w:b w:val="1"/>
          <w:rtl w:val="0"/>
        </w:rPr>
        <w:t xml:space="preserve">severe side-effects and toxicity</w:t>
      </w:r>
      <w:r w:rsidDel="00000000" w:rsidR="00000000" w:rsidRPr="00000000">
        <w:rPr>
          <w:rtl w:val="0"/>
        </w:rPr>
        <w:t xml:space="preserve">. Currently investigated strategies to fine-tune cytokine therapeutics include cytokine modifications to increase cytokine half-life, tumor-targeted cytokine delivery and activation systems, the creation of engineered modified cytokines with increased or decreased binding capabilities to cell-type specific receptors; and the harnessing of combinatorial approaches of cytokines and checkpoint inhibitors. These advances have boosted interest in cytokine-based therapies, which is reflected in the immense number of ongoing clinical trials in the field, with some reaching phase III trials</w:t>
      </w:r>
      <w:r w:rsidDel="00000000" w:rsidR="00000000" w:rsidRPr="00000000">
        <w:rPr>
          <w:vertAlign w:val="superscript"/>
          <w:rtl w:val="0"/>
        </w:rPr>
        <w:t xml:space="preserve">8-9</w:t>
      </w:r>
      <w:r w:rsidDel="00000000" w:rsidR="00000000" w:rsidRPr="00000000">
        <w:rPr>
          <w:rtl w:val="0"/>
        </w:rPr>
        <w:t xml:space="preserve">.</w:t>
      </w:r>
    </w:p>
    <w:p w:rsidR="00000000" w:rsidDel="00000000" w:rsidP="00000000" w:rsidRDefault="00000000" w:rsidRPr="00000000" w14:paraId="0000000E">
      <w:pPr>
        <w:ind w:firstLine="284"/>
        <w:jc w:val="both"/>
        <w:rPr/>
      </w:pPr>
      <w:r w:rsidDel="00000000" w:rsidR="00000000" w:rsidRPr="00000000">
        <w:rPr>
          <w:rtl w:val="0"/>
        </w:rPr>
        <w:t xml:space="preserve">However, the lack of sufficient understanding of the complex cytokine action has thus far limited their clinical translation to human cancer patients. Our next-generation of immunocytokines, coined MiTEs, aim to overcome these limitations by relying on our advanced single-cell multiomics technologies to amass a deep understanding of the cytokine-induced immune cell reprogramming, as well as off-target toxicities, and use it to select and develop engineered cytokines with conditioned activation in response to TME-and tumor macrophage specific signals. This developmental approach will result in highly potent, specific molecules designed uniquely for inducing lymphoid anti-tumor activity with minimal off-target toxicities.</w:t>
      </w:r>
    </w:p>
    <w:p w:rsidR="00000000" w:rsidDel="00000000" w:rsidP="00000000" w:rsidRDefault="00000000" w:rsidRPr="00000000" w14:paraId="0000000F">
      <w:pPr>
        <w:ind w:firstLine="284"/>
        <w:jc w:val="both"/>
        <w:rPr/>
      </w:pPr>
      <w:r w:rsidDel="00000000" w:rsidR="00000000" w:rsidRPr="00000000">
        <w:rPr>
          <w:b w:val="1"/>
          <w:i w:val="1"/>
          <w:color w:val="2f5496"/>
          <w:rtl w:val="0"/>
        </w:rPr>
        <w:t xml:space="preserve">Moving from mAbs to dual-modulatory Abs for patients with solid tumors.</w:t>
      </w:r>
      <w:r w:rsidDel="00000000" w:rsidR="00000000" w:rsidRPr="00000000">
        <w:rPr>
          <w:rtl w:val="0"/>
        </w:rPr>
        <w:t xml:space="preserve"> Despite the potential of anti-TREM2 blocking antibodies and other myeloid-targeted immunotherapies to treat solid cancers and their potent capacity to reprogram TAMs towards anti-tumor inflammatory macrophages</w:t>
      </w:r>
      <w:r w:rsidDel="00000000" w:rsidR="00000000" w:rsidRPr="00000000">
        <w:rPr>
          <w:vertAlign w:val="superscript"/>
          <w:rtl w:val="0"/>
        </w:rPr>
        <w:t xml:space="preserve">10</w:t>
      </w:r>
      <w:r w:rsidDel="00000000" w:rsidR="00000000" w:rsidRPr="00000000">
        <w:rPr>
          <w:rtl w:val="0"/>
        </w:rPr>
        <w:t xml:space="preserve">, monotherapy applications of myeloid checkpoints have a limited capacity due to the occurrence of resistance mechanisms in effector immune cells. Seeking to address this basic immunotherapy hurdle, we here propose to develop the ability to augment the immune modulation capabilities of monotherapies by merging myeloid modulation antibodies with engineered NK and T cell activation molecules. Specifically,</w:t>
      </w:r>
      <w:r w:rsidDel="00000000" w:rsidR="00000000" w:rsidRPr="00000000">
        <w:rPr>
          <w:b w:val="1"/>
          <w:rtl w:val="0"/>
        </w:rPr>
        <w:t xml:space="preserve"> </w:t>
      </w:r>
      <w:r w:rsidDel="00000000" w:rsidR="00000000" w:rsidRPr="00000000">
        <w:rPr>
          <w:rtl w:val="0"/>
        </w:rPr>
        <w:t xml:space="preserve">by exploiting our in-depth understanding of TME cellular and molecular circuitry and the impact of the therapeutic molecules on immune reprogramming</w:t>
      </w:r>
      <w:r w:rsidDel="00000000" w:rsidR="00000000" w:rsidRPr="00000000">
        <w:rPr>
          <w:vertAlign w:val="superscript"/>
          <w:rtl w:val="0"/>
        </w:rPr>
        <w:t xml:space="preserve">2-4</w:t>
      </w:r>
      <w:r w:rsidDel="00000000" w:rsidR="00000000" w:rsidRPr="00000000">
        <w:rPr>
          <w:rtl w:val="0"/>
        </w:rPr>
        <w:t xml:space="preserve">, we aim to generate a novel class of myeloid-targeted immunocytokines armed with engineered cytokines whose activity is TME-conditioned.</w:t>
      </w:r>
      <w:r w:rsidDel="00000000" w:rsidR="00000000" w:rsidRPr="00000000">
        <w:rPr>
          <w:b w:val="1"/>
          <w:rtl w:val="0"/>
        </w:rPr>
        <w:t xml:space="preserve"> </w:t>
      </w:r>
      <w:r w:rsidDel="00000000" w:rsidR="00000000" w:rsidRPr="00000000">
        <w:rPr>
          <w:rtl w:val="0"/>
        </w:rPr>
        <w:t xml:space="preserve">This dual-arm immune activation in the TME is expected to generate a potent and specific anti-tumor response. </w:t>
      </w:r>
    </w:p>
    <w:p w:rsidR="00000000" w:rsidDel="00000000" w:rsidP="00000000" w:rsidRDefault="00000000" w:rsidRPr="00000000" w14:paraId="00000010">
      <w:pPr>
        <w:ind w:firstLine="284"/>
        <w:jc w:val="both"/>
        <w:rPr/>
      </w:pPr>
      <w:r w:rsidDel="00000000" w:rsidR="00000000" w:rsidRPr="00000000">
        <w:rPr>
          <w:b w:val="1"/>
          <w:color w:val="2f5496"/>
          <w:rtl w:val="0"/>
        </w:rPr>
        <w:t xml:space="preserve">Constructing dual activators that target both the myeloid, NK and T cell compartments is unique in cancer immunotherapy drug design</w:t>
      </w:r>
      <w:r w:rsidDel="00000000" w:rsidR="00000000" w:rsidRPr="00000000">
        <w:rPr>
          <w:rtl w:val="0"/>
        </w:rPr>
        <w:t xml:space="preserve">. Furthermore, our strategy has significant advantages over other dual immune modulators currently being developed. </w:t>
      </w:r>
      <w:r w:rsidDel="00000000" w:rsidR="00000000" w:rsidRPr="00000000">
        <w:rPr>
          <w:u w:val="single"/>
          <w:rtl w:val="0"/>
        </w:rPr>
        <w:t xml:space="preserve">First</w:t>
      </w:r>
      <w:r w:rsidDel="00000000" w:rsidR="00000000" w:rsidRPr="00000000">
        <w:rPr>
          <w:rtl w:val="0"/>
        </w:rPr>
        <w:t xml:space="preserve">, myeloid cells, and especially TAMs, are the most abundant cell population in the TME, sometimes encompassing over 50% of the tumor mass. </w:t>
      </w:r>
      <w:r w:rsidDel="00000000" w:rsidR="00000000" w:rsidRPr="00000000">
        <w:rPr>
          <w:u w:val="single"/>
          <w:rtl w:val="0"/>
        </w:rPr>
        <w:t xml:space="preserve">Second</w:t>
      </w:r>
      <w:r w:rsidDel="00000000" w:rsidR="00000000" w:rsidRPr="00000000">
        <w:rPr>
          <w:rtl w:val="0"/>
        </w:rPr>
        <w:t xml:space="preserve">, reprogramming regulatory myeloid cells toward a pro-inflammatory state synergizes with the NK and T cell-activating function of our molecules. </w:t>
      </w:r>
      <w:r w:rsidDel="00000000" w:rsidR="00000000" w:rsidRPr="00000000">
        <w:rPr>
          <w:u w:val="single"/>
          <w:rtl w:val="0"/>
        </w:rPr>
        <w:t xml:space="preserve">Third</w:t>
      </w:r>
      <w:r w:rsidDel="00000000" w:rsidR="00000000" w:rsidRPr="00000000">
        <w:rPr>
          <w:rtl w:val="0"/>
        </w:rPr>
        <w:t xml:space="preserve">, targeting the TREM2 pathway also provides highly TME-specific activity while preventing the possibility of tumor antigen escape and MHC-I down-regulation and significantly reduces the odds of treatment resistance.</w:t>
      </w:r>
      <w:r w:rsidDel="00000000" w:rsidR="00000000" w:rsidRPr="00000000">
        <w:rPr>
          <w:b w:val="1"/>
          <w:rtl w:val="0"/>
        </w:rPr>
        <w:t xml:space="preserve"> </w:t>
      </w:r>
      <w:r w:rsidDel="00000000" w:rsidR="00000000" w:rsidRPr="00000000">
        <w:rPr>
          <w:u w:val="single"/>
          <w:rtl w:val="0"/>
        </w:rPr>
        <w:t xml:space="preserve">Fourth</w:t>
      </w:r>
      <w:r w:rsidDel="00000000" w:rsidR="00000000" w:rsidRPr="00000000">
        <w:rPr>
          <w:rtl w:val="0"/>
        </w:rPr>
        <w:t xml:space="preserve">, we take a hybrid approach to predict and design engineered cytokines with defined properties, such as cell-type-specific receptor affinities. We combine state-of-the-art machine learning architectures in an integrated, multimodal tool, such as Rosetta, to predict and optimize our protein structures, including expression, stability, binding affinity, catalytic efficiency, and specificity. We use a unique combination of evolutionary information and atomistic calculations to either optimize existing proteins or design new proteins inspired by nature. </w:t>
      </w:r>
      <w:r w:rsidDel="00000000" w:rsidR="00000000" w:rsidRPr="00000000">
        <w:rPr>
          <w:u w:val="single"/>
          <w:rtl w:val="0"/>
        </w:rPr>
        <w:t xml:space="preserve">Lastly</w:t>
      </w:r>
      <w:r w:rsidDel="00000000" w:rsidR="00000000" w:rsidRPr="00000000">
        <w:rPr>
          <w:rtl w:val="0"/>
        </w:rPr>
        <w:t xml:space="preserve">, we aim to exploit our in-depth understanding of the specific TAMs proteases collected by our single-cell multiomics pipeline, to design TAM-specific cleavage sites within our MiTEs molecules. By introducing binding affinity modifications and blocking moieties that are cleaved under tumor associated macrophages TME conditions, we will increase their tumor targeting and reduce off-tumor toxicities even further. Our immunocytokines’ design will ensure potent on-target, tumor-conditioned cytokine activity in the TME while remaining completely inactive in the periphery. Importantly, these unique molecules will provide the level of tumor-specificity needed to combine the anti-TREM2 mAb with potent </w:t>
      </w:r>
      <w:r w:rsidDel="00000000" w:rsidR="00000000" w:rsidRPr="00000000">
        <w:rPr>
          <w:i w:val="1"/>
          <w:rtl w:val="0"/>
        </w:rPr>
        <w:t xml:space="preserve">trans</w:t>
      </w:r>
      <w:r w:rsidDel="00000000" w:rsidR="00000000" w:rsidRPr="00000000">
        <w:rPr>
          <w:rtl w:val="0"/>
        </w:rPr>
        <w:t xml:space="preserve">-activated NK and T cell effectors that would be too toxic if it were not for the specificity of TREM2 and the advanced cytokine design. As a monotherapy or in combination with other drugs, </w:t>
      </w:r>
      <w:r w:rsidDel="00000000" w:rsidR="00000000" w:rsidRPr="00000000">
        <w:rPr>
          <w:b w:val="1"/>
          <w:rtl w:val="0"/>
        </w:rPr>
        <w:t xml:space="preserve">the strong pro-inflammatory and tumor-specific potential of our MiTEs can turn them into game-changers in cancer therapeutics—especially for the treatment of solid tumors resistant to current ICB</w:t>
      </w:r>
      <w:r w:rsidDel="00000000" w:rsidR="00000000" w:rsidRPr="00000000">
        <w:rPr>
          <w:rtl w:val="0"/>
        </w:rPr>
        <w:t xml:space="preserve">s. </w:t>
      </w:r>
    </w:p>
    <w:p w:rsidR="00000000" w:rsidDel="00000000" w:rsidP="00000000" w:rsidRDefault="00000000" w:rsidRPr="00000000" w14:paraId="00000011">
      <w:pPr>
        <w:ind w:firstLine="284"/>
        <w:jc w:val="both"/>
        <w:rPr/>
      </w:pPr>
      <w:r w:rsidDel="00000000" w:rsidR="00000000" w:rsidRPr="00000000">
        <w:rPr>
          <w:rFonts w:ascii="Calibri" w:cs="Calibri" w:eastAsia="Calibri" w:hAnsi="Calibri"/>
          <w:rtl w:val="0"/>
        </w:rPr>
        <w:t xml:space="preserve">Commercial potential of the new applications and functionalities developed in this proposal and beyond. </w:t>
      </w:r>
      <w:r w:rsidDel="00000000" w:rsidR="00000000" w:rsidRPr="00000000">
        <w:rPr>
          <w:rtl w:val="0"/>
        </w:rPr>
      </w:r>
    </w:p>
    <w:p w:rsidR="00000000" w:rsidDel="00000000" w:rsidP="00000000" w:rsidRDefault="00000000" w:rsidRPr="00000000" w14:paraId="00000012">
      <w:pPr>
        <w:jc w:val="both"/>
        <w:rPr>
          <w:b w:val="1"/>
          <w:color w:val="000000"/>
        </w:rPr>
      </w:pPr>
      <w:r w:rsidDel="00000000" w:rsidR="00000000" w:rsidRPr="00000000">
        <w:rPr>
          <w:rtl w:val="0"/>
        </w:rPr>
        <w:t xml:space="preserve">In this EIC, we seek to develop and validate the ability to construct powerful dual-modulatory myeloid NK and T cell effectors agents, which will provide us with a disruptive PoC and technological foundation for establishing a NewCo centered on a unique technology platform for turning TREM2 and other novel myeloid checkpoints into robust and safe anti-cancer dual-modulatory agents. Such agents would have a significant potential to become the next generation of cancer immunotherapies with broad application to millions of patients annually with tumors displaying high levels of TREM2 and remain unresponsive to current ICB therapies, such as breast, skin, lung, colon, brain, ovary, kidney, liver, stomach, esophagus, pancreas, uterus, prostate and testis cancers. Our goal in this project is to advance 1–2 highly potent molecules to the IND stage and partner with biotech/Pharma towards advancing the lead molecule to a phase 1 clinical trial (TRL 5), thereby confirming our platform and technologies.</w:t>
      </w:r>
      <w:r w:rsidDel="00000000" w:rsidR="00000000" w:rsidRPr="00000000">
        <w:rPr>
          <w:rtl w:val="0"/>
        </w:rPr>
      </w:r>
    </w:p>
    <w:p w:rsidR="00000000" w:rsidDel="00000000" w:rsidP="00000000" w:rsidRDefault="00000000" w:rsidRPr="00000000" w14:paraId="00000013">
      <w:pPr>
        <w:ind w:firstLine="284"/>
        <w:jc w:val="both"/>
        <w:rPr/>
      </w:pPr>
      <w:r w:rsidDel="00000000" w:rsidR="00000000" w:rsidRPr="00000000">
        <w:rPr>
          <w:rtl w:val="0"/>
        </w:rPr>
        <w:t xml:space="preserve">In terms of entry barriers, all our proprietary technologies are protected by a large IP portfolio of single-cell technologies, anti-TREM2 molecules, additional myeloid checkpoints, and activity of engineered cytokines and cytokine blocking moieties and tumor macrophage specific cleavable linkers in the TME. This includes </w:t>
      </w:r>
      <w:r w:rsidDel="00000000" w:rsidR="00000000" w:rsidRPr="00000000">
        <w:rPr>
          <w:b w:val="1"/>
          <w:rtl w:val="0"/>
        </w:rPr>
        <w:t xml:space="preserve">our myeloid tumor-specific cleavable masking strategy</w:t>
      </w:r>
      <w:r w:rsidDel="00000000" w:rsidR="00000000" w:rsidRPr="00000000">
        <w:rPr>
          <w:rtl w:val="0"/>
        </w:rPr>
        <w:t xml:space="preserve">; this TAM-controlled activation masking is specifically cleaved by tumor-specific proteases expressed on TREM2+ cells in the TME which we screened, identified, validated and optimized using our pipeline, ensuring high tumor-localized efficacy and minimizing peripheral immune activation without any detectable toxicities or adverse effects (Figure 3E). </w:t>
      </w:r>
      <w:r w:rsidDel="00000000" w:rsidR="00000000" w:rsidRPr="00000000">
        <w:rPr>
          <w:b w:val="1"/>
          <w:rtl w:val="0"/>
        </w:rPr>
        <w:t xml:space="preserve">All these factors make it highly challenging for potential competitors to emulate our competitive advantage</w:t>
      </w:r>
      <w:r w:rsidDel="00000000" w:rsidR="00000000" w:rsidRPr="00000000">
        <w:rPr>
          <w:rtl w:val="0"/>
        </w:rPr>
        <w:t xml:space="preserve">, with the addition of our vast expertise and know-how and various unique technologies and steps in the proposed pipeline, thus placing us in a unique competitive position.</w:t>
      </w:r>
    </w:p>
    <w:p w:rsidR="00000000" w:rsidDel="00000000" w:rsidP="00000000" w:rsidRDefault="00000000" w:rsidRPr="00000000" w14:paraId="00000014">
      <w:pPr>
        <w:ind w:firstLine="284"/>
        <w:jc w:val="both"/>
        <w:rPr/>
      </w:pPr>
      <w:r w:rsidDel="00000000" w:rsidR="00000000" w:rsidRPr="00000000">
        <w:rPr>
          <w:rFonts w:ascii="Calibri" w:cs="Calibri" w:eastAsia="Calibri" w:hAnsi="Calibri"/>
          <w:rtl w:val="0"/>
        </w:rPr>
        <w:t xml:space="preserve">Appropriateness of the objectives for our MiTE technology development, validation and commercialization</w:t>
      </w:r>
      <w:r w:rsidDel="00000000" w:rsidR="00000000" w:rsidRPr="00000000">
        <w:rPr>
          <w:rtl w:val="0"/>
        </w:rPr>
      </w:r>
    </w:p>
    <w:p w:rsidR="00000000" w:rsidDel="00000000" w:rsidP="00000000" w:rsidRDefault="00000000" w:rsidRPr="00000000" w14:paraId="00000015">
      <w:pPr>
        <w:ind w:firstLine="284"/>
        <w:jc w:val="both"/>
        <w:rPr/>
      </w:pPr>
      <w:r w:rsidDel="00000000" w:rsidR="00000000" w:rsidRPr="00000000">
        <w:rPr>
          <w:rtl w:val="0"/>
        </w:rPr>
        <w:t xml:space="preserve">Our preliminary data demonstrates the significant monotherapy efficacy of our MiTE molecules compared to any other myeloid checkpoint (Figs. 3-7), as well as our ability to design potent engineered cytokines with conditional activation and minimal toxicity in response to TME-specific signals. Considering this data, our proposed in-depth technology and data-driven campaign for the discovery of optimal MiTE combinations has the potential to culminate in the development of novel, highly potent, first-in-their-class therapeutics for solid tumors. Our program relies on established drug development methods we used to develop the BiSE molecules and groundbreaking single-cell technologies that enable a shift from trial-and-error to data-driven, mechanistically-informed drug development. The screening and selection of combinations with the optimal synergistic effects will utilize our proprietary single-cell multi-omics functional screening technologies </w:t>
      </w:r>
      <w:r w:rsidDel="00000000" w:rsidR="00000000" w:rsidRPr="00000000">
        <w:rPr>
          <w:i w:val="1"/>
          <w:rtl w:val="0"/>
        </w:rPr>
        <w:t xml:space="preserve">in vivo</w:t>
      </w:r>
      <w:r w:rsidDel="00000000" w:rsidR="00000000" w:rsidRPr="00000000">
        <w:rPr>
          <w:rtl w:val="0"/>
        </w:rPr>
        <w:t xml:space="preserve">. Computational methods and mechanistic understanding will inform the design of the effective novel molecules. The efficacy, MoA and downstream effects of the novel molecules on the immune compartment in the TME will be investigated using </w:t>
      </w:r>
      <w:r w:rsidDel="00000000" w:rsidR="00000000" w:rsidRPr="00000000">
        <w:rPr>
          <w:i w:val="1"/>
          <w:rtl w:val="0"/>
        </w:rPr>
        <w:t xml:space="preserve">in-vivo</w:t>
      </w:r>
      <w:r w:rsidDel="00000000" w:rsidR="00000000" w:rsidRPr="00000000">
        <w:rPr>
          <w:rtl w:val="0"/>
        </w:rPr>
        <w:t xml:space="preserve"> and </w:t>
      </w:r>
      <w:r w:rsidDel="00000000" w:rsidR="00000000" w:rsidRPr="00000000">
        <w:rPr>
          <w:i w:val="1"/>
          <w:rtl w:val="0"/>
        </w:rPr>
        <w:t xml:space="preserve">ex-vivo</w:t>
      </w:r>
      <w:r w:rsidDel="00000000" w:rsidR="00000000" w:rsidRPr="00000000">
        <w:rPr>
          <w:rtl w:val="0"/>
        </w:rPr>
        <w:t xml:space="preserve"> tumor models analyzed with our most advanced single-cell multiomics tools. </w:t>
      </w:r>
    </w:p>
    <w:p w:rsidR="00000000" w:rsidDel="00000000" w:rsidP="00000000" w:rsidRDefault="00000000" w:rsidRPr="00000000" w14:paraId="00000016">
      <w:pPr>
        <w:ind w:firstLine="284"/>
        <w:jc w:val="both"/>
        <w:rPr/>
      </w:pPr>
      <w:r w:rsidDel="00000000" w:rsidR="00000000" w:rsidRPr="00000000">
        <w:rPr>
          <w:rtl w:val="0"/>
        </w:rPr>
        <w:t xml:space="preserve">This thorough, data-driven, stepwise decision-making process offers an efficient means to advance toward the IND stage with 1–3 novel molecules exhibiting significant potential for replicating the measured therapeutic effects in human patients and creating a real-world impact on solid cancer treatment. It also provides the flexibility to explore other candidates if some are deemed unsuitable. Our team has all the required knowhow, infrastructure and proficiency in the core methods required to realize our technology development objectives. The great advantage of our strategy is that we will simultaneously validate our pipeline, which can serve as the basis for a startup company, and bring MiTE to maturation toward the commercialization of the next generation of multi-arm immunotherapies. In parallel, we will strengthen the IP by validating specific targets. All novel MiTE molecules developed will be further IP filed and will strengthen our IP portfolio of the parent MiTE IP application. Our efforts will be complemented by optimizing a commercialization plan. This will be tied to the business strategy, business plan and R&amp;D plan, developed in parallel with support from industry consultant leaders. Formulating these plans will necessitate a detailed analysis of the requited technology, reagents, equipment, team, timeframes, and proactive consultations about effective CMC (Chemistry, Manufacturing and Controls) and financial resources. </w:t>
      </w:r>
    </w:p>
    <w:p w:rsidR="00000000" w:rsidDel="00000000" w:rsidP="00000000" w:rsidRDefault="00000000" w:rsidRPr="00000000" w14:paraId="00000017">
      <w:pPr>
        <w:pStyle w:val="Heading2"/>
        <w:spacing w:after="0" w:before="0" w:lineRule="auto"/>
        <w:rPr/>
      </w:pPr>
      <w:r w:rsidDel="00000000" w:rsidR="00000000" w:rsidRPr="00000000">
        <w:rPr>
          <w:rtl w:val="0"/>
        </w:rPr>
        <w:t xml:space="preserve">1.3 Methodology </w:t>
      </w:r>
      <w:r w:rsidDel="00000000" w:rsidR="00000000" w:rsidRPr="00000000">
        <w:rPr>
          <w:rFonts w:ascii="Calibri" w:cs="Calibri" w:eastAsia="Calibri" w:hAnsi="Calibri"/>
          <w:color w:val="b5b5b5"/>
          <w:sz w:val="18"/>
          <w:szCs w:val="18"/>
          <w:rtl w:val="0"/>
        </w:rPr>
        <w:t xml:space="preserve">#@CON-MET-CM@# #@COM-PLE-CP@#</w:t>
      </w:r>
      <w:r w:rsidDel="00000000" w:rsidR="00000000" w:rsidRPr="00000000">
        <w:rPr>
          <w:rtl w:val="0"/>
        </w:rPr>
      </w:r>
    </w:p>
    <w:p w:rsidR="00000000" w:rsidDel="00000000" w:rsidP="00000000" w:rsidRDefault="00000000" w:rsidRPr="00000000" w14:paraId="00000018">
      <w:pPr>
        <w:ind w:firstLine="284"/>
        <w:jc w:val="both"/>
        <w:rPr/>
      </w:pPr>
      <w:bookmarkStart w:colFirst="0" w:colLast="0" w:name="_heading=h.2jxsxqh" w:id="4"/>
      <w:bookmarkEnd w:id="4"/>
      <w:r w:rsidDel="00000000" w:rsidR="00000000" w:rsidRPr="00000000">
        <w:rPr>
          <w:rtl w:val="0"/>
        </w:rPr>
        <w:t xml:space="preserve">Our research approach is to harness the unprecedented power and resolution of single-cell genomic technologies for the development of MiTE molecules to create a novel class of immunotherapies on the backbone of our scientifically established TREM2 antagonizing mAb. We will utilize INs-seq</w:t>
      </w:r>
      <w:r w:rsidDel="00000000" w:rsidR="00000000" w:rsidRPr="00000000">
        <w:rPr>
          <w:vertAlign w:val="superscript"/>
          <w:rtl w:val="0"/>
        </w:rPr>
        <w:t xml:space="preserve">14</w:t>
      </w:r>
      <w:r w:rsidDel="00000000" w:rsidR="00000000" w:rsidRPr="00000000">
        <w:rPr>
          <w:rtl w:val="0"/>
        </w:rPr>
        <w:t xml:space="preserve"> and other groundbreaking single-cell technologies developed in our lab—such as PIC-seq, a novel, versatile method for profiling physically interacting cells (PICs)</w:t>
      </w:r>
      <w:r w:rsidDel="00000000" w:rsidR="00000000" w:rsidRPr="00000000">
        <w:rPr>
          <w:vertAlign w:val="superscript"/>
          <w:rtl w:val="0"/>
        </w:rPr>
        <w:t xml:space="preserve">15</w:t>
      </w:r>
      <w:r w:rsidDel="00000000" w:rsidR="00000000" w:rsidRPr="00000000">
        <w:rPr>
          <w:rtl w:val="0"/>
        </w:rPr>
        <w:t xml:space="preserve">, and Zman-seq, a groundbreaking technology for tracking single-cell temporal dynamics </w:t>
      </w:r>
      <w:r w:rsidDel="00000000" w:rsidR="00000000" w:rsidRPr="00000000">
        <w:rPr>
          <w:i w:val="1"/>
          <w:rtl w:val="0"/>
        </w:rPr>
        <w:t xml:space="preserve">in vivo</w:t>
      </w:r>
      <w:r w:rsidDel="00000000" w:rsidR="00000000" w:rsidRPr="00000000">
        <w:rPr>
          <w:vertAlign w:val="superscript"/>
          <w:rtl w:val="0"/>
        </w:rPr>
        <w:t xml:space="preserve">10</w:t>
      </w:r>
      <w:r w:rsidDel="00000000" w:rsidR="00000000" w:rsidRPr="00000000">
        <w:rPr>
          <w:b w:val="1"/>
          <w:rtl w:val="0"/>
        </w:rPr>
        <w:t xml:space="preserve"> (Fig 3D-G</w:t>
      </w:r>
      <w:r w:rsidDel="00000000" w:rsidR="00000000" w:rsidRPr="00000000">
        <w:rPr>
          <w:rtl w:val="0"/>
        </w:rPr>
        <w:t xml:space="preserve">), spatial transcriptomics to analyze the impact of candidate combinations and molecules on the selected </w:t>
      </w:r>
      <w:r w:rsidDel="00000000" w:rsidR="00000000" w:rsidRPr="00000000">
        <w:rPr>
          <w:i w:val="1"/>
          <w:rtl w:val="0"/>
        </w:rPr>
        <w:t xml:space="preserve">in-vivo</w:t>
      </w:r>
      <w:r w:rsidDel="00000000" w:rsidR="00000000" w:rsidRPr="00000000">
        <w:rPr>
          <w:rtl w:val="0"/>
        </w:rPr>
        <w:t xml:space="preserve"> tumor models and CRISP-seq (not published yet, in revision) for single cell analysis in combination with pooled CRISPR screens and variation of the method with pro-codes barcodes to systematically study cytokine activities. We will use these advanced single-cell tools to achieve maximal impact on suppressive cell modulation and immune reactivation and increase the probability of success in later MiTE drug-development stages (</w:t>
      </w:r>
      <w:r w:rsidDel="00000000" w:rsidR="00000000" w:rsidRPr="00000000">
        <w:rPr>
          <w:b w:val="1"/>
          <w:rtl w:val="0"/>
        </w:rPr>
        <w:t xml:space="preserve">Fig. 3B</w:t>
      </w:r>
      <w:r w:rsidDel="00000000" w:rsidR="00000000" w:rsidRPr="00000000">
        <w:rPr>
          <w:rtl w:val="0"/>
        </w:rPr>
        <w:t xml:space="preserve">). Based on the single-cell measurement of TME remodeling following treatment with different MiTE molecules in development, the best formations will be selected, e.g. comprising Fab and Fc domains that are optimized to achieve a durable immune response. Finally, our efficacy results will be validated and quantified by testing the molecules on </w:t>
      </w:r>
      <w:r w:rsidDel="00000000" w:rsidR="00000000" w:rsidRPr="00000000">
        <w:rPr>
          <w:i w:val="1"/>
          <w:rtl w:val="0"/>
        </w:rPr>
        <w:t xml:space="preserve">ex-vivo</w:t>
      </w:r>
      <w:r w:rsidDel="00000000" w:rsidR="00000000" w:rsidRPr="00000000">
        <w:rPr>
          <w:rtl w:val="0"/>
        </w:rPr>
        <w:t xml:space="preserve"> patient-derived tumor fragments. We will measure cell apoptosis in the assays and use scRNA-seq to decipher molecular pathways and cell states inferred by the treatments.</w:t>
      </w:r>
    </w:p>
    <w:p w:rsidR="00000000" w:rsidDel="00000000" w:rsidP="00000000" w:rsidRDefault="00000000" w:rsidRPr="00000000" w14:paraId="00000019">
      <w:pPr>
        <w:jc w:val="both"/>
        <w:rPr/>
      </w:pPr>
      <w:r w:rsidDel="00000000" w:rsidR="00000000" w:rsidRPr="00000000">
        <w:rPr>
          <w:b w:val="1"/>
          <w:i w:val="1"/>
          <w:color w:val="2f5496"/>
          <w:rtl w:val="0"/>
        </w:rPr>
        <w:t xml:space="preserve">Gender dimension. </w:t>
      </w:r>
      <w:r w:rsidDel="00000000" w:rsidR="00000000" w:rsidRPr="00000000">
        <w:rPr>
          <w:rtl w:val="0"/>
        </w:rPr>
        <w:t xml:space="preserve">While the gender dimension does not directly pertain to this EIC, the solid tumors our designed constructs are found to effectively eliminate may be more prevalent in one sex. For example, breast cancer is the most common cause of cancer death of women around the globe. Breast cancer is largely resistant to current immunotherapies, and myeloid cells have been shown to play a significant role in this resistance and TREM2+ macrophages drive metastasis formation</w:t>
      </w:r>
      <w:r w:rsidDel="00000000" w:rsidR="00000000" w:rsidRPr="00000000">
        <w:rPr>
          <w:sz w:val="16"/>
          <w:szCs w:val="16"/>
          <w:vertAlign w:val="superscript"/>
          <w:rtl w:val="0"/>
        </w:rPr>
        <w:t xml:space="preserve">16</w:t>
      </w:r>
      <w:r w:rsidDel="00000000" w:rsidR="00000000" w:rsidRPr="00000000">
        <w:rPr>
          <w:rtl w:val="0"/>
        </w:rPr>
        <w:t xml:space="preserve">. For those reasons, we believe our myeloid-modulating MiTE molecules could be game-changers by offering the next generation of effective immunotherapy to breast cancer patients. </w:t>
      </w:r>
    </w:p>
    <w:p w:rsidR="00000000" w:rsidDel="00000000" w:rsidP="00000000" w:rsidRDefault="00000000" w:rsidRPr="00000000" w14:paraId="0000001A">
      <w:pPr>
        <w:jc w:val="both"/>
        <w:rPr>
          <w:rFonts w:ascii="Calibri" w:cs="Calibri" w:eastAsia="Calibri" w:hAnsi="Calibri"/>
          <w:color w:val="b5b5b5"/>
          <w:sz w:val="18"/>
          <w:szCs w:val="18"/>
        </w:rPr>
      </w:pPr>
      <w:r w:rsidDel="00000000" w:rsidR="00000000" w:rsidRPr="00000000">
        <w:rPr>
          <w:rFonts w:ascii="Calibri" w:cs="Calibri" w:eastAsia="Calibri" w:hAnsi="Calibri"/>
          <w:color w:val="b5b5b5"/>
          <w:sz w:val="18"/>
          <w:szCs w:val="18"/>
          <w:rtl w:val="0"/>
        </w:rPr>
        <w:t xml:space="preserve">#§PRJ-OBJ-PO§# </w:t>
      </w:r>
      <w:r w:rsidDel="00000000" w:rsidR="00000000" w:rsidRPr="00000000">
        <w:rPr>
          <w:color w:val="b5b5b5"/>
          <w:sz w:val="18"/>
          <w:szCs w:val="18"/>
          <w:rtl w:val="0"/>
        </w:rPr>
        <w:t xml:space="preserve">#§REL-EVA-RE§# </w:t>
      </w:r>
      <w:r w:rsidDel="00000000" w:rsidR="00000000" w:rsidRPr="00000000">
        <w:rPr>
          <w:rFonts w:ascii="Calibri" w:cs="Calibri" w:eastAsia="Calibri" w:hAnsi="Calibri"/>
          <w:color w:val="b5b5b5"/>
          <w:sz w:val="18"/>
          <w:szCs w:val="18"/>
          <w:rtl w:val="0"/>
        </w:rPr>
        <w:t xml:space="preserve">#@CON-MET-CM@# #@COM-PLE-CP@#</w:t>
      </w:r>
    </w:p>
    <w:p w:rsidR="00000000" w:rsidDel="00000000" w:rsidP="00000000" w:rsidRDefault="00000000" w:rsidRPr="00000000" w14:paraId="0000001B">
      <w:pPr>
        <w:pStyle w:val="Heading1"/>
        <w:spacing w:after="0" w:before="0" w:lineRule="auto"/>
        <w:rPr/>
      </w:pPr>
      <w:bookmarkStart w:colFirst="0" w:colLast="0" w:name="_heading=h.z337ya" w:id="5"/>
      <w:bookmarkEnd w:id="5"/>
      <w:r w:rsidDel="00000000" w:rsidR="00000000" w:rsidRPr="00000000">
        <w:rPr>
          <w:rtl w:val="0"/>
        </w:rPr>
        <w:t xml:space="preserve">2. IMPACT </w:t>
      </w:r>
      <w:r w:rsidDel="00000000" w:rsidR="00000000" w:rsidRPr="00000000">
        <w:rPr>
          <w:color w:val="b5b5b5"/>
          <w:sz w:val="18"/>
          <w:szCs w:val="18"/>
          <w:rtl w:val="0"/>
        </w:rPr>
        <w:t xml:space="preserve">#@IMP-ACT-IA@#</w:t>
      </w:r>
      <w:r w:rsidDel="00000000" w:rsidR="00000000" w:rsidRPr="00000000">
        <w:rPr>
          <w:rtl w:val="0"/>
        </w:rPr>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pBdr>
        <w:jc w:val="both"/>
        <w:rPr/>
      </w:pPr>
      <w:r w:rsidDel="00000000" w:rsidR="00000000" w:rsidRPr="00000000">
        <w:rPr>
          <w:b w:val="1"/>
          <w:rtl w:val="0"/>
        </w:rPr>
        <w:t xml:space="preserve">A. Our planned path to market the innovation beyond the duration of the project</w:t>
      </w:r>
      <w:r w:rsidDel="00000000" w:rsidR="00000000" w:rsidRPr="00000000">
        <w:rPr>
          <w:rtl w:val="0"/>
        </w:rPr>
        <w:t xml:space="preserve">. With the EIC’s support, our data-driven stepwise pipeline for the generation of MiTE will provide us with a short list of highly potent MiTE leads along with strong supporting evidence of their effectiveness in reprograming the myeloid and lymphoid immune compartment in the tumor and their potent efficacy in eliminating hard-to-treat tumors. In doing so, we will bring a disruptive new class of molecules and we will also validate our pipeline for MiTE generation. This will position us in an ideal position for securing investments for establishing a NewCo around the pipeline and partnering with pharmaceutical companies for advancing our molecules to the clinical phase. The NewCo’s business strategy will be to design new MiTEs for cancer and other diseases using the pipeline validated in this EIC and then partner with pharma for their clinical translation. We are proactively ensuring that all our IP is protected. An important part of this EIC will be to formulate strategies that capitalize on and maximize the value of our IP assets. To validate the problem/solution fit, we will benchmark our end products against comparable immunotherapies (anti-PD-1/Pembrolizumab, anti-CTLA-4/Ipilimumab) and our proprietary anti-TREM2 antibody in terms of treatment outcome, safety and efficacy. An expert with an extensive and successful leadership background in pharmaceutical or biotech companies will be hired to lead the commercialization and will eventually become the CEO of the NewCo.</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pacing w:line="60" w:lineRule="auto"/>
        <w:rPr/>
      </w:pPr>
      <w:r w:rsidDel="00000000" w:rsidR="00000000" w:rsidRPr="00000000">
        <w:rPr>
          <w:rtl w:val="0"/>
        </w:rPr>
      </w:r>
    </w:p>
    <w:p w:rsidR="00000000" w:rsidDel="00000000" w:rsidP="00000000" w:rsidRDefault="00000000" w:rsidRPr="00000000" w14:paraId="0000001E">
      <w:pPr>
        <w:pStyle w:val="Heading2"/>
        <w:spacing w:after="0" w:before="0" w:lineRule="auto"/>
        <w:rPr/>
      </w:pPr>
      <w:r w:rsidDel="00000000" w:rsidR="00000000" w:rsidRPr="00000000">
        <w:rPr>
          <w:rtl w:val="0"/>
        </w:rPr>
        <w:t xml:space="preserve">2.1 Credibility of the impacts </w:t>
      </w:r>
    </w:p>
    <w:p w:rsidR="00000000" w:rsidDel="00000000" w:rsidP="00000000" w:rsidRDefault="00000000" w:rsidRPr="00000000" w14:paraId="0000001F">
      <w:pPr>
        <w:ind w:firstLine="284"/>
        <w:jc w:val="both"/>
        <w:rPr/>
      </w:pPr>
      <w:bookmarkStart w:colFirst="0" w:colLast="0" w:name="_heading=h.3j2qqm3" w:id="6"/>
      <w:bookmarkEnd w:id="6"/>
      <w:r w:rsidDel="00000000" w:rsidR="00000000" w:rsidRPr="00000000">
        <w:rPr>
          <w:rtl w:val="0"/>
        </w:rPr>
        <w:t xml:space="preserve">Our preliminary assessment of the immunotherapy market indicates a highly competitive landscape driven by increasing global demands and market growth. The global cancer immunotherapy market is expected to record a CAGR of 7.2% from 2024 to 2033, reflecting a rise from an estimated market value of USD 168.1 Billion to USD 314.4 Billion</w:t>
      </w:r>
      <w:r w:rsidDel="00000000" w:rsidR="00000000" w:rsidRPr="00000000">
        <w:rPr>
          <w:vertAlign w:val="superscript"/>
          <w:rtl w:val="0"/>
        </w:rPr>
        <w:t xml:space="preserve">17</w:t>
      </w:r>
      <w:r w:rsidDel="00000000" w:rsidR="00000000" w:rsidRPr="00000000">
        <w:rPr>
          <w:rtl w:val="0"/>
        </w:rPr>
        <w:t xml:space="preserve">. Hospitals are currently the largest group of end users of cancer immunotherapy, followed by cancer research institutes, clinics, and ambulatory surgical centers. This sector is highly competitive. However, anti-PD1-resistant solid tumors are still largely irresponsive to immunotherapies. Introducing into the market a potent novel off-the-shelf immunotherapy capable of effectively harnessing the body's immune system for the eradication of solid tumors could be transformative for the lives of millions of cancer patients in Europe and around the world.</w:t>
      </w:r>
    </w:p>
    <w:p w:rsidR="00000000" w:rsidDel="00000000" w:rsidP="00000000" w:rsidRDefault="00000000" w:rsidRPr="00000000" w14:paraId="00000020">
      <w:pPr>
        <w:ind w:firstLine="284"/>
        <w:jc w:val="both"/>
        <w:rPr/>
      </w:pPr>
      <w:r w:rsidDel="00000000" w:rsidR="00000000" w:rsidRPr="00000000">
        <w:rPr>
          <w:rtl w:val="0"/>
        </w:rPr>
        <w:t xml:space="preserve">Our R&amp;D activities will validate the two core components of our planned NewCo, namely, our MiTE-generating pipeline, which will form the center of our NewCo, and the MiTEs, making them ready for the IND stage and forming our start-up’s first line of products, to be exploited by partnering with pharma/biomedical companies for translation into viable cancer therapeutics. All patentable intellectual property and R&amp;D advances will be readily IP-protected, in accordance with input from YEDA and possibly their external IP consultants as to the best patenting strategy, thus safeguarding our unique selling point and competitive advantage, and protecting the future of our NewCo. We will implement strict NDA policies and maintain rigorous IP ownership protocols. This will be complemented by a business and commercialization drive involving a comprehensive market analysis to understand the competitive immunotherapy landscape and potential regional regulatory hurdles. We will identify key stakeholders and pharma/biotech companies in the cancer therapy field. The insight provided by these efforts and discussions with key players in the field will allow us to optimize our business model for effective market penetration. We will strengthen our network and connections to improve our standing toward commercialization. As is typically the case with new drugs, future clinical trials will confirm the problem/solution fit by demonstrating TME-targeted, effective drugs superior to others on the market. These results will be published in peer-review, open-access journals and communicated to the cancer research and medical community at conferences and roadshows, to policy makers, key stakeholders and cancer advocacy groups via emails and arranged lectures/presentations, and to cancer patients and the lay public via mass media and social media.</w:t>
      </w:r>
    </w:p>
    <w:p w:rsidR="00000000" w:rsidDel="00000000" w:rsidP="00000000" w:rsidRDefault="00000000" w:rsidRPr="00000000" w14:paraId="00000021">
      <w:pPr>
        <w:pStyle w:val="Heading2"/>
        <w:spacing w:after="0" w:before="0" w:lineRule="auto"/>
        <w:rPr/>
      </w:pPr>
      <w:r w:rsidDel="00000000" w:rsidR="00000000" w:rsidRPr="00000000">
        <w:rPr>
          <w:rtl w:val="0"/>
        </w:rPr>
        <w:t xml:space="preserve">2.2 Economic and/or societal benefits </w:t>
      </w:r>
    </w:p>
    <w:p w:rsidR="00000000" w:rsidDel="00000000" w:rsidP="00000000" w:rsidRDefault="00000000" w:rsidRPr="00000000" w14:paraId="00000022">
      <w:pPr>
        <w:ind w:firstLine="284"/>
        <w:jc w:val="both"/>
        <w:rPr/>
      </w:pPr>
      <w:bookmarkStart w:colFirst="0" w:colLast="0" w:name="_heading=h.1y810tw" w:id="7"/>
      <w:bookmarkEnd w:id="7"/>
      <w:r w:rsidDel="00000000" w:rsidR="00000000" w:rsidRPr="00000000">
        <w:rPr>
          <w:rtl w:val="0"/>
        </w:rPr>
        <w:t xml:space="preserve">Cancer is a major contributor to global mortality</w:t>
      </w:r>
      <w:r w:rsidDel="00000000" w:rsidR="00000000" w:rsidRPr="00000000">
        <w:rPr>
          <w:vertAlign w:val="superscript"/>
          <w:rtl w:val="0"/>
        </w:rPr>
        <w:t xml:space="preserve">18</w:t>
      </w:r>
      <w:r w:rsidDel="00000000" w:rsidR="00000000" w:rsidRPr="00000000">
        <w:rPr>
          <w:rtl w:val="0"/>
        </w:rPr>
        <w:t xml:space="preserve"> causing about 1 in every 6 deaths worldwide (~9.7 million deaths in 2022) and 1 in 5 in the EU. In Europe, cancer is the most prevalent cause of death and morbidity after cardiovascular diseases, with more than 3.7 million new cases and 1.9 million deaths each year</w:t>
      </w:r>
      <w:r w:rsidDel="00000000" w:rsidR="00000000" w:rsidRPr="00000000">
        <w:rPr>
          <w:vertAlign w:val="superscript"/>
          <w:rtl w:val="0"/>
        </w:rPr>
        <w:t xml:space="preserve">19</w:t>
      </w:r>
      <w:r w:rsidDel="00000000" w:rsidR="00000000" w:rsidRPr="00000000">
        <w:rPr>
          <w:rtl w:val="0"/>
        </w:rPr>
        <w:t xml:space="preserve">.</w:t>
      </w:r>
      <w:r w:rsidDel="00000000" w:rsidR="00000000" w:rsidRPr="00000000">
        <w:rPr>
          <w:rFonts w:ascii="Arial" w:cs="Arial" w:eastAsia="Arial" w:hAnsi="Arial"/>
          <w:color w:val="3c4245"/>
          <w:highlight w:val="white"/>
          <w:rtl w:val="0"/>
        </w:rPr>
        <w:t xml:space="preserve"> </w:t>
      </w:r>
      <w:r w:rsidDel="00000000" w:rsidR="00000000" w:rsidRPr="00000000">
        <w:rPr>
          <w:rtl w:val="0"/>
        </w:rPr>
        <w:t xml:space="preserve">Globally, an estimated 20 million cancer cases were newly diagnosed in 2022, with the number of cancer cases predicted to reach 35 million by 2050</w:t>
      </w:r>
      <w:r w:rsidDel="00000000" w:rsidR="00000000" w:rsidRPr="00000000">
        <w:rPr>
          <w:vertAlign w:val="superscript"/>
          <w:rtl w:val="0"/>
        </w:rPr>
        <w:t xml:space="preserve">20</w:t>
      </w:r>
      <w:r w:rsidDel="00000000" w:rsidR="00000000" w:rsidRPr="00000000">
        <w:rPr>
          <w:rtl w:val="0"/>
        </w:rPr>
        <w:t xml:space="preserve">. Finding curative therapies for these millions of patients is an immediate societal challenge. Our EIC project is set to provide more effective cancer treatments with far less unwanted side-effects, including for patients with solid tumors, thereby improving both the survival rate and quality of life of cancer patients. An effective cure will also greatly relieve the economic burden of health care systems worldwide by hopefully providing a viable, long-lasting cure, one that will also curb cancer recurrence rates and their related health care personnel and treatment costs. It will further aid economies by returning workers to the workforce. Our in-depth studies of the TME landscape will also yield new insight into the interactions between resident immune, stroma and tumor cells, thereby advancing our understanding of this deadly disease and immune functioning in general.</w:t>
      </w:r>
    </w:p>
    <w:p w:rsidR="00000000" w:rsidDel="00000000" w:rsidP="00000000" w:rsidRDefault="00000000" w:rsidRPr="00000000" w14:paraId="00000023">
      <w:pPr>
        <w:pStyle w:val="Heading2"/>
        <w:spacing w:after="0" w:before="0" w:lineRule="auto"/>
        <w:rPr/>
      </w:pPr>
      <w:r w:rsidDel="00000000" w:rsidR="00000000" w:rsidRPr="00000000">
        <w:rPr>
          <w:rtl w:val="0"/>
        </w:rPr>
        <w:t xml:space="preserve">2.3 Investment readiness   </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pacing w:line="60" w:lineRule="auto"/>
        <w:rPr/>
      </w:pPr>
      <w:r w:rsidDel="00000000" w:rsidR="00000000" w:rsidRPr="00000000">
        <w:rPr>
          <w:rtl w:val="0"/>
        </w:rPr>
      </w:r>
    </w:p>
    <w:p w:rsidR="00000000" w:rsidDel="00000000" w:rsidP="00000000" w:rsidRDefault="00000000" w:rsidRPr="00000000" w14:paraId="00000025">
      <w:pPr>
        <w:pStyle w:val="Heading2"/>
        <w:spacing w:after="0" w:before="0" w:lineRule="auto"/>
        <w:rPr/>
      </w:pPr>
      <w:r w:rsidDel="00000000" w:rsidR="00000000" w:rsidRPr="00000000">
        <w:rPr>
          <w:rtl w:val="0"/>
        </w:rPr>
        <w:t xml:space="preserve">3.1 Quality and motivation of the team</w:t>
      </w:r>
    </w:p>
    <w:p w:rsidR="00000000" w:rsidDel="00000000" w:rsidP="00000000" w:rsidRDefault="00000000" w:rsidRPr="00000000" w14:paraId="00000026">
      <w:pPr>
        <w:tabs>
          <w:tab w:val="left" w:leader="none" w:pos="1418"/>
        </w:tabs>
        <w:ind w:firstLine="284"/>
        <w:jc w:val="both"/>
        <w:rPr/>
      </w:pPr>
      <w:bookmarkStart w:colFirst="0" w:colLast="0" w:name="_heading=h.2xcytpi" w:id="8"/>
      <w:bookmarkEnd w:id="8"/>
      <w:r w:rsidDel="00000000" w:rsidR="00000000" w:rsidRPr="00000000">
        <w:rPr>
          <w:rtl w:val="0"/>
        </w:rPr>
        <w:t xml:space="preserve">The EIC project is led by </w:t>
      </w:r>
      <w:r w:rsidDel="00000000" w:rsidR="00000000" w:rsidRPr="00000000">
        <w:rPr>
          <w:b w:val="1"/>
          <w:rtl w:val="0"/>
        </w:rPr>
        <w:t xml:space="preserve">Prof.</w:t>
      </w:r>
      <w:r w:rsidDel="00000000" w:rsidR="00000000" w:rsidRPr="00000000">
        <w:rPr>
          <w:rtl w:val="0"/>
        </w:rPr>
        <w:t xml:space="preserve"> </w:t>
      </w:r>
      <w:r w:rsidDel="00000000" w:rsidR="00000000" w:rsidRPr="00000000">
        <w:rPr>
          <w:b w:val="1"/>
          <w:rtl w:val="0"/>
        </w:rPr>
        <w:t xml:space="preserve">Ido</w:t>
      </w:r>
      <w:r w:rsidDel="00000000" w:rsidR="00000000" w:rsidRPr="00000000">
        <w:rPr>
          <w:rtl w:val="0"/>
        </w:rPr>
        <w:t xml:space="preserve"> </w:t>
      </w:r>
      <w:r w:rsidDel="00000000" w:rsidR="00000000" w:rsidRPr="00000000">
        <w:rPr>
          <w:b w:val="1"/>
          <w:rtl w:val="0"/>
        </w:rPr>
        <w:t xml:space="preserve">Amit (IA)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a principal investigator in the Department of Immunology at the Weizmann Institute of Science and Director of the Weizmann Institute Immunotherapy Research Center. Prof. Amit has pioneered the development of single-cell genomics technologies and their application in immuno-oncology. His research has made seminal contributions to our understanding of how TAMs support cancer immune-evasion and the central role of myeloid checkpoints in cancer immunotherapies</w:t>
      </w:r>
      <w:r w:rsidDel="00000000" w:rsidR="00000000" w:rsidRPr="00000000">
        <w:rPr>
          <w:vertAlign w:val="superscript"/>
          <w:rtl w:val="0"/>
        </w:rPr>
        <w:t xml:space="preserve">1-4,10, 13-15, 21-33</w:t>
      </w:r>
      <w:r w:rsidDel="00000000" w:rsidR="00000000" w:rsidRPr="00000000">
        <w:rPr>
          <w:rtl w:val="0"/>
        </w:rPr>
        <w:t xml:space="preserve">. Prof. Amit has founded several biotech companies, including ADAMtx, supported by an ERC PoC (acquired by Immunai). He has published over 150 scientific articles and his international profile as one of the leaders of the immuno-oncology field is demonstrated by numerous impactful papers in leading journals (H-index 106; 94,809 citations). He received multiple excellence prizes (HHMI, EMBO Gold Metal, Sanofi Institute Pasture award) and has a strong track record of external funding, advisory and SAB positions in biotech and large pharma, and leadership in international consortium projects. This track record of excellence makes Prof. Amit exceptionally well positioned to lead this ambitious EIC project.</w:t>
      </w:r>
    </w:p>
    <w:p w:rsidR="00000000" w:rsidDel="00000000" w:rsidP="00000000" w:rsidRDefault="00000000" w:rsidRPr="00000000" w14:paraId="00000027">
      <w:pPr>
        <w:tabs>
          <w:tab w:val="left" w:leader="none" w:pos="1418"/>
        </w:tabs>
        <w:ind w:firstLine="284"/>
        <w:jc w:val="both"/>
        <w:rPr/>
      </w:pPr>
      <w:r w:rsidDel="00000000" w:rsidR="00000000" w:rsidRPr="00000000">
        <w:rPr>
          <w:rtl w:val="0"/>
        </w:rPr>
        <w:t xml:space="preserve">The vast knowledge, knowhow and IP of the Amit lab in the development of immunocytokines and its powerful single-cell and AI technologies are ideally suited to advance the MiTE platform and EIC proposal. The immunocytokine development and validation will be managed by </w:t>
      </w:r>
      <w:r w:rsidDel="00000000" w:rsidR="00000000" w:rsidRPr="00000000">
        <w:rPr>
          <w:b w:val="1"/>
          <w:rtl w:val="0"/>
        </w:rPr>
        <w:t xml:space="preserve">Michelle von Locquenghien (MVL)</w:t>
      </w:r>
      <w:r w:rsidDel="00000000" w:rsidR="00000000" w:rsidRPr="00000000">
        <w:rPr>
          <w:rtl w:val="0"/>
        </w:rPr>
        <w:t xml:space="preserve">, an exceptionally talented PhD Student who graduated with two master’s degrees in the field of molecular biotechnology and biomedicine. V. Locquenghien has extensive research experience through research stays at MIT-affiliated Whitehead Institute, Netherlands Cancer Institute, Helmholtz Institute and more. As a published first author in JCI, she discusses the role of Interferon signaling in immune system regulation, cancer progression and metastasis, and in immunotherapy response and resistance. Her expertise in decoding cytokine biology and understanding the dynamic interplay of immunity and the TME will significantly contribute to the project. The work will be supported by </w:t>
      </w:r>
      <w:r w:rsidDel="00000000" w:rsidR="00000000" w:rsidRPr="00000000">
        <w:rPr>
          <w:b w:val="1"/>
          <w:rtl w:val="0"/>
        </w:rPr>
        <w:t xml:space="preserve">Dr. Pascale Zwicky</w:t>
      </w:r>
      <w:r w:rsidDel="00000000" w:rsidR="00000000" w:rsidRPr="00000000">
        <w:rPr>
          <w:rtl w:val="0"/>
        </w:rPr>
        <w:t xml:space="preserve"> </w:t>
      </w:r>
      <w:r w:rsidDel="00000000" w:rsidR="00000000" w:rsidRPr="00000000">
        <w:rPr>
          <w:b w:val="1"/>
          <w:rtl w:val="0"/>
        </w:rPr>
        <w:t xml:space="preserve">(PZ)</w:t>
      </w:r>
      <w:r w:rsidDel="00000000" w:rsidR="00000000" w:rsidRPr="00000000">
        <w:rPr>
          <w:rtl w:val="0"/>
        </w:rPr>
        <w:t xml:space="preserve"> and </w:t>
      </w:r>
      <w:r w:rsidDel="00000000" w:rsidR="00000000" w:rsidRPr="00000000">
        <w:rPr>
          <w:b w:val="1"/>
          <w:rtl w:val="0"/>
        </w:rPr>
        <w:t xml:space="preserve">Dr. Diego Jaitin (DJ)</w:t>
      </w:r>
      <w:r w:rsidDel="00000000" w:rsidR="00000000" w:rsidRPr="00000000">
        <w:rPr>
          <w:rtl w:val="0"/>
        </w:rPr>
        <w:t xml:space="preserve">. Dr. Zwicky is a postdoctoral fellow in the Amit lab. She is a distinguished expert in immunology, particularly in cytokine biology. She earned her Ph.D. from the University of Zurich, where she received the annual award for best PhD thesis from the Faculty of Mathematics and Natural Sciences. Her groundbreaking work has been featured in prestigious journals, such as </w:t>
      </w:r>
      <w:r w:rsidDel="00000000" w:rsidR="00000000" w:rsidRPr="00000000">
        <w:rPr>
          <w:i w:val="1"/>
          <w:rtl w:val="0"/>
        </w:rPr>
        <w:t xml:space="preserve">Nature</w:t>
      </w:r>
      <w:r w:rsidDel="00000000" w:rsidR="00000000" w:rsidRPr="00000000">
        <w:rPr>
          <w:rtl w:val="0"/>
        </w:rPr>
        <w:t xml:space="preserve"> and </w:t>
      </w:r>
      <w:r w:rsidDel="00000000" w:rsidR="00000000" w:rsidRPr="00000000">
        <w:rPr>
          <w:i w:val="1"/>
          <w:rtl w:val="0"/>
        </w:rPr>
        <w:t xml:space="preserve">Science Immunology</w:t>
      </w:r>
      <w:r w:rsidDel="00000000" w:rsidR="00000000" w:rsidRPr="00000000">
        <w:rPr>
          <w:rtl w:val="0"/>
        </w:rPr>
        <w:t xml:space="preserve">. Dr. Zwicky possesses exceptional skills in </w:t>
      </w:r>
      <w:r w:rsidDel="00000000" w:rsidR="00000000" w:rsidRPr="00000000">
        <w:rPr>
          <w:i w:val="1"/>
          <w:rtl w:val="0"/>
        </w:rPr>
        <w:t xml:space="preserve">in vitro</w:t>
      </w:r>
      <w:r w:rsidDel="00000000" w:rsidR="00000000" w:rsidRPr="00000000">
        <w:rPr>
          <w:rtl w:val="0"/>
        </w:rPr>
        <w:t xml:space="preserve"> and </w:t>
      </w:r>
      <w:r w:rsidDel="00000000" w:rsidR="00000000" w:rsidRPr="00000000">
        <w:rPr>
          <w:i w:val="1"/>
          <w:rtl w:val="0"/>
        </w:rPr>
        <w:t xml:space="preserve">in vivo</w:t>
      </w:r>
      <w:r w:rsidDel="00000000" w:rsidR="00000000" w:rsidRPr="00000000">
        <w:rPr>
          <w:rtl w:val="0"/>
        </w:rPr>
        <w:t xml:space="preserve"> immunological assays, various single-cell technologies, including high-dimensional flow cytometry and sequencing, as well as various data analysis techniques. Additionally, she has been awarded prestigious postdoctoral fellowships in recognition of her outstanding contributions to the field. Dr. Jaitin is a highly accomplished scientist with dozens of publications in peer-reviewed journals, including first author publications in top journals such as </w:t>
      </w:r>
      <w:r w:rsidDel="00000000" w:rsidR="00000000" w:rsidRPr="00000000">
        <w:rPr>
          <w:i w:val="1"/>
          <w:rtl w:val="0"/>
        </w:rPr>
        <w:t xml:space="preserve">Science</w:t>
      </w:r>
      <w:r w:rsidDel="00000000" w:rsidR="00000000" w:rsidRPr="00000000">
        <w:rPr>
          <w:rtl w:val="0"/>
        </w:rPr>
        <w:t xml:space="preserve">, </w:t>
      </w:r>
      <w:r w:rsidDel="00000000" w:rsidR="00000000" w:rsidRPr="00000000">
        <w:rPr>
          <w:i w:val="1"/>
          <w:rtl w:val="0"/>
        </w:rPr>
        <w:t xml:space="preserve">Cell</w:t>
      </w:r>
      <w:r w:rsidDel="00000000" w:rsidR="00000000" w:rsidRPr="00000000">
        <w:rPr>
          <w:rtl w:val="0"/>
        </w:rPr>
        <w:t xml:space="preserve"> and </w:t>
      </w:r>
      <w:r w:rsidDel="00000000" w:rsidR="00000000" w:rsidRPr="00000000">
        <w:rPr>
          <w:i w:val="1"/>
          <w:rtl w:val="0"/>
        </w:rPr>
        <w:t xml:space="preserve">Nature</w:t>
      </w:r>
      <w:r w:rsidDel="00000000" w:rsidR="00000000" w:rsidRPr="00000000">
        <w:rPr>
          <w:rtl w:val="0"/>
        </w:rPr>
        <w:t xml:space="preserve">. Dr. Jaitin has over 15 years of leadership in immuno-oncology research. It was Dr. Jaitin who led our successful ERC PoC development of TREM2-based therapeutics. To strengthen the team’s business development and commercialization experience, an expert consultant will be hired to attain and develop the industry contacts necessary to realize our commercialization plan and establish negotiations with leading pharma companies and biotech VC funds. With our vast network of biotech leaders, we will recruit a person with a leadership background in immunotherapy/pharma industry and a proven track record in business development. Ultimately, this person is expected to lead the commercialization efforts (WP6) and become the CEO of the planned startup company.</w:t>
      </w:r>
    </w:p>
    <w:p w:rsidR="00000000" w:rsidDel="00000000" w:rsidP="00000000" w:rsidRDefault="00000000" w:rsidRPr="00000000" w14:paraId="00000028">
      <w:pPr>
        <w:tabs>
          <w:tab w:val="left" w:leader="none" w:pos="1418"/>
        </w:tabs>
        <w:jc w:val="both"/>
        <w:rPr/>
      </w:pPr>
      <w:r w:rsidDel="00000000" w:rsidR="00000000" w:rsidRPr="00000000">
        <w:rPr>
          <w:rtl w:val="0"/>
        </w:rPr>
        <w:t xml:space="preserve">This team will be augmented by the expertise of </w:t>
      </w:r>
      <w:r w:rsidDel="00000000" w:rsidR="00000000" w:rsidRPr="00000000">
        <w:rPr>
          <w:b w:val="1"/>
          <w:rtl w:val="0"/>
        </w:rPr>
        <w:t xml:space="preserve">Prof. Rony Dahan </w:t>
      </w:r>
      <w:r w:rsidDel="00000000" w:rsidR="00000000" w:rsidRPr="00000000">
        <w:rPr>
          <w:rtl w:val="0"/>
        </w:rPr>
        <w:t xml:space="preserve">(Weizmann Institute), whose lab has multiple joint publication with the Amit lab on BsAb development and holds unique expertise in Ab engineering, development of FC transgenic mouse models, </w:t>
      </w:r>
      <w:r w:rsidDel="00000000" w:rsidR="00000000" w:rsidRPr="00000000">
        <w:rPr>
          <w:i w:val="1"/>
          <w:rtl w:val="0"/>
        </w:rPr>
        <w:t xml:space="preserve">in-vivo</w:t>
      </w:r>
      <w:r w:rsidDel="00000000" w:rsidR="00000000" w:rsidRPr="00000000">
        <w:rPr>
          <w:rtl w:val="0"/>
        </w:rPr>
        <w:t xml:space="preserve"> cancer immunology, and Ab immune responses. In this EIC project, Prof. Dahan will consult on the design of the immunocytokines and BsAb molecules. The structure of the MiTE molecules will be optimized with the help of </w:t>
      </w:r>
      <w:r w:rsidDel="00000000" w:rsidR="00000000" w:rsidRPr="00000000">
        <w:rPr>
          <w:b w:val="1"/>
          <w:rtl w:val="0"/>
        </w:rPr>
        <w:t xml:space="preserve">Prof. Sarel-Jacob Fleishman</w:t>
      </w:r>
      <w:r w:rsidDel="00000000" w:rsidR="00000000" w:rsidRPr="00000000">
        <w:rPr>
          <w:rtl w:val="0"/>
        </w:rPr>
        <w:t xml:space="preserve"> (Weizmann Institute), whose lab is a leader in developing AI-based tools for optimizing the affinity, stability and production of therapeutic antibodies while maintaining their human immune-system tolerability. The immunocytokines development, optimization and building for commercialization will be supported by collaboration with </w:t>
      </w:r>
      <w:r w:rsidDel="00000000" w:rsidR="00000000" w:rsidRPr="00000000">
        <w:rPr>
          <w:b w:val="1"/>
          <w:rtl w:val="0"/>
        </w:rPr>
        <w:t xml:space="preserve">Prof. Ton Schumacher</w:t>
      </w:r>
      <w:r w:rsidDel="00000000" w:rsidR="00000000" w:rsidRPr="00000000">
        <w:rPr>
          <w:rtl w:val="0"/>
        </w:rPr>
        <w:t xml:space="preserve">, head of the Netherlands Cancer Institute / NKI, who is a longtime collaborator and has been consulting on this program from its very beginning. Schumacher is a major pioneer in T cell tumor biology and has led some of the most critical development in the immunotherapy field as a CSO in Kite Pharma and Neogene in the CAR T space, partner in Third Rock-ventures and co-founder of Asher Bio, an innovative biotech in the cis-targeted immunocytokines space. Dahan, Fleishman and Schumacher are also expected to be part of the scientific advisory board of the NewCo.</w:t>
      </w:r>
    </w:p>
    <w:p w:rsidR="00000000" w:rsidDel="00000000" w:rsidP="00000000" w:rsidRDefault="00000000" w:rsidRPr="00000000" w14:paraId="00000029">
      <w:pPr>
        <w:tabs>
          <w:tab w:val="left" w:leader="none" w:pos="1418"/>
        </w:tabs>
        <w:jc w:val="both"/>
        <w:rPr/>
      </w:pPr>
      <w:r w:rsidDel="00000000" w:rsidR="00000000" w:rsidRPr="00000000">
        <w:rPr>
          <w:rtl w:val="0"/>
        </w:rPr>
        <w:t xml:space="preserve">Our business development drive will also be supported by </w:t>
      </w:r>
      <w:r w:rsidDel="00000000" w:rsidR="00000000" w:rsidRPr="00000000">
        <w:rPr>
          <w:b w:val="1"/>
          <w:rtl w:val="0"/>
        </w:rPr>
        <w:t xml:space="preserve">Yeda</w:t>
      </w:r>
      <w:r w:rsidDel="00000000" w:rsidR="00000000" w:rsidRPr="00000000">
        <w:rPr>
          <w:rtl w:val="0"/>
        </w:rPr>
        <w:t xml:space="preserve">, whose services are guaranteed, free of charge, throughout the project’s duration. Yeda has an outstanding track record and long experience in technology transfer (see </w:t>
      </w:r>
      <w:hyperlink r:id="rId9">
        <w:r w:rsidDel="00000000" w:rsidR="00000000" w:rsidRPr="00000000">
          <w:rPr>
            <w:color w:val="0088cc"/>
            <w:u w:val="single"/>
            <w:rtl w:val="0"/>
          </w:rPr>
          <w:t xml:space="preserve">www.yedarnd.com</w:t>
        </w:r>
      </w:hyperlink>
      <w:r w:rsidDel="00000000" w:rsidR="00000000" w:rsidRPr="00000000">
        <w:rPr>
          <w:rtl w:val="0"/>
        </w:rPr>
        <w:t xml:space="preserve">). It will be intimately involved in IPR, market, and business-related activities and will also act as our internal advisor in discussions with potential partners, customers, investors, etc. Our team and partners at Yeda have proven and demonstrated experience in partnerships with world-leading organizations, substantial success in the area of cancer drugs, and are well connected to the right people and organizations.</w:t>
      </w:r>
    </w:p>
    <w:p w:rsidR="00000000" w:rsidDel="00000000" w:rsidP="00000000" w:rsidRDefault="00000000" w:rsidRPr="00000000" w14:paraId="0000002A">
      <w:pPr>
        <w:widowControl w:val="1"/>
        <w:spacing w:after="160" w:line="278.00000000000006" w:lineRule="auto"/>
        <w:rPr>
          <w:color w:val="000000"/>
          <w:sz w:val="18"/>
          <w:szCs w:val="18"/>
        </w:rPr>
      </w:pP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851" w:top="851" w:left="851"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EC Square Sans Pro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tabs>
        <w:tab w:val="center" w:leader="none" w:pos="4536"/>
        <w:tab w:val="right" w:leader="none" w:pos="9072"/>
      </w:tabs>
      <w:jc w:val="center"/>
      <w:rPr>
        <w:sz w:val="20"/>
        <w:szCs w:val="20"/>
      </w:rPr>
    </w:pPr>
    <w:r w:rsidDel="00000000" w:rsidR="00000000" w:rsidRPr="00000000">
      <w:rPr>
        <w:sz w:val="20"/>
        <w:szCs w:val="20"/>
        <w:rtl w:val="0"/>
      </w:rPr>
      <w:t xml:space="preserve">Part B -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21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tabs>
        <w:tab w:val="center" w:leader="none" w:pos="4536"/>
        <w:tab w:val="right" w:leader="none" w:pos="9072"/>
      </w:tabs>
      <w:jc w:val="center"/>
      <w:rPr/>
    </w:pPr>
    <w:r w:rsidDel="00000000" w:rsidR="00000000" w:rsidRPr="00000000">
      <w:rPr>
        <w:sz w:val="20"/>
        <w:szCs w:val="20"/>
        <w:rtl w:val="0"/>
      </w:rPr>
      <w:t xml:space="preserve">Part B -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20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tabs>
        <w:tab w:val="center" w:leader="none" w:pos="4536"/>
        <w:tab w:val="right" w:leader="none" w:pos="9072"/>
      </w:tabs>
      <w:rPr/>
    </w:pPr>
    <w:r w:rsidDel="00000000" w:rsidR="00000000" w:rsidRPr="00000000">
      <w:rPr>
        <w:sz w:val="20"/>
        <w:szCs w:val="20"/>
        <w:rtl w:val="0"/>
      </w:rPr>
      <w:t xml:space="preserve">EIC Transition 2022 - HORIZON-EIC-2022-TRANSITION-01</w:t>
      <w:tab/>
    </w:r>
    <w:r w:rsidDel="00000000" w:rsidR="00000000" w:rsidRPr="00000000">
      <w:rPr>
        <w:color w:val="222222"/>
        <w:sz w:val="20"/>
        <w:szCs w:val="20"/>
        <w:highlight w:val="white"/>
        <w:rtl w:val="0"/>
      </w:rPr>
      <w:t xml:space="preserve">MiTE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tabs>
        <w:tab w:val="center" w:leader="none" w:pos="4536"/>
        <w:tab w:val="right" w:leader="none" w:pos="10204"/>
      </w:tabs>
      <w:rPr>
        <w:sz w:val="20"/>
        <w:szCs w:val="20"/>
      </w:rPr>
    </w:pPr>
    <w:r w:rsidDel="00000000" w:rsidR="00000000" w:rsidRPr="00000000">
      <w:rPr>
        <w:sz w:val="20"/>
        <w:szCs w:val="20"/>
        <w:rtl w:val="0"/>
      </w:rPr>
      <w:t xml:space="preserve">EIC Transition 2024 - HORIZON-EIC-2024-TRANSITION-01</w:t>
      <w:tab/>
    </w:r>
    <w:r w:rsidDel="00000000" w:rsidR="00000000" w:rsidRPr="00000000">
      <w:rPr>
        <w:color w:val="222222"/>
        <w:sz w:val="20"/>
        <w:szCs w:val="20"/>
        <w:highlight w:val="white"/>
        <w:rtl w:val="0"/>
      </w:rPr>
      <w:t xml:space="preserve">MiTE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644" w:hanging="359.99999999999994"/>
      </w:pPr>
      <w:rPr>
        <w:b w:val="1"/>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720" w:hanging="360"/>
      </w:pPr>
      <w:rPr>
        <w:sz w:val="22"/>
        <w:szCs w:val="22"/>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hd w:fill="bdd7ee" w:val="clear"/>
      <w:spacing w:after="60" w:before="60" w:lineRule="auto"/>
      <w:jc w:val="both"/>
    </w:pPr>
    <w:rPr>
      <w:b w:val="1"/>
    </w:rPr>
  </w:style>
  <w:style w:type="paragraph" w:styleId="Heading2">
    <w:name w:val="heading 2"/>
    <w:basedOn w:val="Normal"/>
    <w:next w:val="Normal"/>
    <w:pPr>
      <w:shd w:fill="9cc3e5" w:val="clear"/>
      <w:spacing w:after="60" w:before="60" w:lineRule="auto"/>
    </w:pPr>
    <w:rPr>
      <w:b w:val="1"/>
    </w:rPr>
  </w:style>
  <w:style w:type="paragraph" w:styleId="Heading3">
    <w:name w:val="heading 3"/>
    <w:basedOn w:val="Normal"/>
    <w:next w:val="Normal"/>
    <w:pPr>
      <w:widowControl w:val="1"/>
      <w:spacing w:after="60" w:before="60" w:lineRule="auto"/>
      <w:jc w:val="both"/>
    </w:pPr>
    <w:rPr>
      <w:rFonts w:ascii="Arial" w:cs="Arial" w:eastAsia="Arial" w:hAnsi="Arial"/>
      <w:b w:val="1"/>
      <w:color w:val="2f5496"/>
      <w:u w:val="single"/>
    </w:rPr>
  </w:style>
  <w:style w:type="paragraph" w:styleId="Heading4">
    <w:name w:val="heading 4"/>
    <w:basedOn w:val="Normal"/>
    <w:next w:val="Normal"/>
    <w:pPr>
      <w:ind w:left="146"/>
    </w:pPr>
    <w:rPr>
      <w:rFonts w:ascii="EC Square Sans Pro Light" w:cs="EC Square Sans Pro Light" w:eastAsia="EC Square Sans Pro Light" w:hAnsi="EC Square Sans Pro Light"/>
      <w:sz w:val="30"/>
      <w:szCs w:val="30"/>
    </w:rPr>
  </w:style>
  <w:style w:type="paragraph" w:styleId="Heading5">
    <w:name w:val="heading 5"/>
    <w:basedOn w:val="Normal"/>
    <w:next w:val="Normal"/>
    <w:pPr>
      <w:ind w:left="833"/>
    </w:pPr>
    <w:rPr>
      <w:rFonts w:ascii="Times New Roman" w:cs="Times New Roman" w:eastAsia="Times New Roman" w:hAnsi="Times New Roman"/>
      <w:b w:val="1"/>
      <w:sz w:val="24"/>
      <w:szCs w:val="24"/>
    </w:rPr>
  </w:style>
  <w:style w:type="paragraph" w:styleId="Heading6">
    <w:name w:val="heading 6"/>
    <w:basedOn w:val="Normal"/>
    <w:next w:val="Normal"/>
    <w:pPr>
      <w:ind w:left="833"/>
    </w:pPr>
    <w:rPr>
      <w:rFonts w:ascii="Times New Roman" w:cs="Times New Roman" w:eastAsia="Times New Roman" w:hAnsi="Times New Roman"/>
      <w:b w:val="1"/>
      <w:i w:val="1"/>
      <w:sz w:val="24"/>
      <w:szCs w:val="24"/>
    </w:rPr>
  </w:style>
  <w:style w:type="paragraph" w:styleId="Title">
    <w:name w:val="Title"/>
    <w:basedOn w:val="Normal"/>
    <w:next w:val="Normal"/>
    <w:pPr>
      <w:widowControl w:val="1"/>
      <w:spacing w:after="160" w:line="259" w:lineRule="auto"/>
      <w:jc w:val="center"/>
    </w:pPr>
    <w:rPr>
      <w:b w:val="1"/>
    </w:rPr>
  </w:style>
  <w:style w:type="paragraph" w:styleId="a" w:default="1">
    <w:name w:val="Normal"/>
    <w:qFormat w:val="1"/>
    <w:rPr>
      <w:color w:val="000000"/>
    </w:rPr>
  </w:style>
  <w:style w:type="paragraph" w:styleId="1">
    <w:name w:val="heading 1"/>
    <w:basedOn w:val="a"/>
    <w:next w:val="a"/>
    <w:link w:val="10"/>
    <w:uiPriority w:val="9"/>
    <w:qFormat w:val="1"/>
    <w:rsid w:val="00A74913"/>
    <w:pPr>
      <w:shd w:color="auto" w:fill="bdd6ee" w:themeFill="accent5" w:themeFillTint="000066" w:val="clear"/>
      <w:spacing w:after="60" w:before="60"/>
      <w:jc w:val="both"/>
      <w:outlineLvl w:val="0"/>
    </w:pPr>
    <w:rPr>
      <w:b w:val="1"/>
      <w:bCs w:val="1"/>
      <w:lang w:bidi="ar-SA"/>
    </w:rPr>
  </w:style>
  <w:style w:type="paragraph" w:styleId="2">
    <w:name w:val="heading 2"/>
    <w:basedOn w:val="a"/>
    <w:next w:val="a"/>
    <w:link w:val="20"/>
    <w:uiPriority w:val="9"/>
    <w:unhideWhenUsed w:val="1"/>
    <w:qFormat w:val="1"/>
    <w:rsid w:val="00AF1A77"/>
    <w:pPr>
      <w:shd w:color="auto" w:fill="9cc2e5" w:themeFill="accent5" w:themeFillTint="000099" w:val="clear"/>
      <w:spacing w:after="60" w:before="60"/>
      <w:outlineLvl w:val="1"/>
    </w:pPr>
    <w:rPr>
      <w:b w:val="1"/>
      <w:bCs w:val="1"/>
      <w:lang w:bidi="ar-SA"/>
    </w:rPr>
  </w:style>
  <w:style w:type="paragraph" w:styleId="3">
    <w:name w:val="heading 3"/>
    <w:basedOn w:val="a"/>
    <w:next w:val="a"/>
    <w:link w:val="30"/>
    <w:uiPriority w:val="9"/>
    <w:unhideWhenUsed w:val="1"/>
    <w:qFormat w:val="1"/>
    <w:pPr>
      <w:widowControl w:val="1"/>
      <w:spacing w:after="60" w:before="60"/>
      <w:jc w:val="both"/>
      <w:outlineLvl w:val="2"/>
    </w:pPr>
    <w:rPr>
      <w:rFonts w:ascii="Arial" w:cs="Arial" w:hAnsi="Arial"/>
      <w:b w:val="1"/>
      <w:bCs w:val="1"/>
      <w:color w:val="2f5496"/>
      <w:u w:val="single"/>
    </w:rPr>
  </w:style>
  <w:style w:type="paragraph" w:styleId="4">
    <w:name w:val="heading 4"/>
    <w:basedOn w:val="a"/>
    <w:next w:val="a"/>
    <w:link w:val="40"/>
    <w:uiPriority w:val="9"/>
    <w:semiHidden w:val="1"/>
    <w:unhideWhenUsed w:val="1"/>
    <w:qFormat w:val="1"/>
    <w:pPr>
      <w:ind w:left="146"/>
      <w:outlineLvl w:val="3"/>
    </w:pPr>
    <w:rPr>
      <w:rFonts w:ascii="EC Square Sans Pro Light" w:cs="EC Square Sans Pro Light" w:hAnsi="EC Square Sans Pro Light"/>
      <w:sz w:val="30"/>
      <w:szCs w:val="30"/>
    </w:rPr>
  </w:style>
  <w:style w:type="paragraph" w:styleId="5">
    <w:name w:val="heading 5"/>
    <w:basedOn w:val="a"/>
    <w:next w:val="a"/>
    <w:link w:val="50"/>
    <w:uiPriority w:val="9"/>
    <w:semiHidden w:val="1"/>
    <w:unhideWhenUsed w:val="1"/>
    <w:qFormat w:val="1"/>
    <w:pPr>
      <w:ind w:left="833"/>
      <w:outlineLvl w:val="4"/>
    </w:pPr>
    <w:rPr>
      <w:rFonts w:ascii="Times New Roman" w:cs="Times New Roman" w:hAnsi="Times New Roman"/>
      <w:b w:val="1"/>
      <w:bCs w:val="1"/>
      <w:sz w:val="24"/>
      <w:szCs w:val="24"/>
    </w:rPr>
  </w:style>
  <w:style w:type="paragraph" w:styleId="6">
    <w:name w:val="heading 6"/>
    <w:basedOn w:val="a"/>
    <w:next w:val="a"/>
    <w:link w:val="60"/>
    <w:uiPriority w:val="9"/>
    <w:semiHidden w:val="1"/>
    <w:unhideWhenUsed w:val="1"/>
    <w:qFormat w:val="1"/>
    <w:pPr>
      <w:ind w:left="833"/>
      <w:outlineLvl w:val="5"/>
    </w:pPr>
    <w:rPr>
      <w:rFonts w:ascii="Times New Roman" w:cs="Times New Roman" w:hAnsi="Times New Roman"/>
      <w:b w:val="1"/>
      <w:bCs w:val="1"/>
      <w:i w:val="1"/>
      <w:iCs w:val="1"/>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a3">
    <w:name w:val="Title"/>
    <w:basedOn w:val="a"/>
    <w:link w:val="a4"/>
    <w:uiPriority w:val="10"/>
    <w:qFormat w:val="1"/>
    <w:rsid w:val="00A74913"/>
    <w:pPr>
      <w:widowControl w:val="1"/>
      <w:spacing w:after="160" w:line="259" w:lineRule="auto"/>
      <w:jc w:val="center"/>
    </w:pPr>
    <w:rPr>
      <w:b w:val="1"/>
      <w:bCs w:val="1"/>
      <w:lang w:bidi="ar-SA"/>
    </w:rPr>
  </w:style>
  <w:style w:type="character" w:styleId="20" w:customStyle="1">
    <w:name w:val="כותרת 2 תו"/>
    <w:basedOn w:val="a0"/>
    <w:link w:val="2"/>
    <w:uiPriority w:val="9"/>
    <w:locked w:val="1"/>
    <w:rsid w:val="00AF1A77"/>
    <w:rPr>
      <w:rFonts w:ascii="Calibri" w:cs="Calibri" w:hAnsi="Calibri"/>
      <w:b w:val="1"/>
      <w:bCs w:val="1"/>
      <w:color w:val="000000"/>
      <w:shd w:color="auto" w:fill="9cc2e5" w:themeFill="accent5" w:themeFillTint="000099" w:val="clear"/>
      <w:lang w:bidi="ar-SA" w:eastAsia="en-US" w:val="en-US"/>
    </w:rPr>
  </w:style>
  <w:style w:type="character" w:styleId="30" w:customStyle="1">
    <w:name w:val="כותרת 3 תו"/>
    <w:basedOn w:val="a0"/>
    <w:link w:val="3"/>
    <w:uiPriority w:val="9"/>
    <w:semiHidden w:val="1"/>
    <w:locked w:val="1"/>
    <w:rPr>
      <w:rFonts w:cs="Times New Roman" w:asciiTheme="majorHAnsi" w:eastAsiaTheme="majorEastAsia" w:hAnsiTheme="majorHAnsi"/>
      <w:b w:val="1"/>
      <w:bCs w:val="1"/>
      <w:color w:val="000000"/>
      <w:sz w:val="26"/>
      <w:szCs w:val="26"/>
    </w:rPr>
  </w:style>
  <w:style w:type="character" w:styleId="40" w:customStyle="1">
    <w:name w:val="כותרת 4 תו"/>
    <w:basedOn w:val="a0"/>
    <w:link w:val="4"/>
    <w:uiPriority w:val="9"/>
    <w:semiHidden w:val="1"/>
    <w:locked w:val="1"/>
    <w:rPr>
      <w:rFonts w:cs="Arial" w:asciiTheme="minorHAnsi" w:eastAsiaTheme="minorEastAsia" w:hAnsiTheme="minorHAnsi"/>
      <w:b w:val="1"/>
      <w:bCs w:val="1"/>
      <w:color w:val="000000"/>
      <w:sz w:val="28"/>
      <w:szCs w:val="28"/>
    </w:rPr>
  </w:style>
  <w:style w:type="character" w:styleId="50" w:customStyle="1">
    <w:name w:val="כותרת 5 תו"/>
    <w:basedOn w:val="a0"/>
    <w:link w:val="5"/>
    <w:uiPriority w:val="9"/>
    <w:semiHidden w:val="1"/>
    <w:locked w:val="1"/>
    <w:rPr>
      <w:rFonts w:cs="Arial" w:asciiTheme="minorHAnsi" w:eastAsiaTheme="minorEastAsia" w:hAnsiTheme="minorHAnsi"/>
      <w:b w:val="1"/>
      <w:bCs w:val="1"/>
      <w:i w:val="1"/>
      <w:iCs w:val="1"/>
      <w:color w:val="000000"/>
      <w:sz w:val="26"/>
      <w:szCs w:val="26"/>
    </w:rPr>
  </w:style>
  <w:style w:type="character" w:styleId="60" w:customStyle="1">
    <w:name w:val="כותרת 6 תו"/>
    <w:basedOn w:val="a0"/>
    <w:link w:val="6"/>
    <w:uiPriority w:val="9"/>
    <w:semiHidden w:val="1"/>
    <w:locked w:val="1"/>
    <w:rPr>
      <w:rFonts w:cs="Arial" w:asciiTheme="minorHAnsi" w:eastAsiaTheme="minorEastAsia" w:hAnsiTheme="minorHAnsi"/>
      <w:b w:val="1"/>
      <w:bCs w:val="1"/>
      <w:color w:val="000000"/>
    </w:rPr>
  </w:style>
  <w:style w:type="character" w:styleId="10" w:customStyle="1">
    <w:name w:val="כותרת 1 תו"/>
    <w:basedOn w:val="a0"/>
    <w:link w:val="1"/>
    <w:uiPriority w:val="9"/>
    <w:locked w:val="1"/>
    <w:rsid w:val="00A74913"/>
    <w:rPr>
      <w:rFonts w:ascii="Calibri" w:cs="Calibri" w:hAnsi="Calibri"/>
      <w:b w:val="1"/>
      <w:bCs w:val="1"/>
      <w:color w:val="000000"/>
      <w:shd w:color="auto" w:fill="bdd6ee" w:themeFill="accent5" w:themeFillTint="000066" w:val="clear"/>
      <w:lang w:bidi="ar-SA" w:eastAsia="en-US" w:val="en-US"/>
    </w:rPr>
  </w:style>
  <w:style w:type="paragraph" w:styleId="a5">
    <w:name w:val="Subtitle"/>
    <w:basedOn w:val="a"/>
    <w:next w:val="a"/>
    <w:link w:val="a6"/>
    <w:uiPriority w:val="11"/>
    <w:qFormat w:val="1"/>
    <w:pPr>
      <w:keepNext w:val="1"/>
      <w:keepLines w:val="1"/>
      <w:spacing w:after="80" w:before="360"/>
    </w:pPr>
    <w:rPr>
      <w:rFonts w:ascii="Georgia" w:cs="Georgia" w:eastAsia="Georgia" w:hAnsi="Georgia"/>
      <w:i w:val="1"/>
      <w:color w:val="666666"/>
      <w:sz w:val="48"/>
      <w:szCs w:val="48"/>
    </w:rPr>
  </w:style>
  <w:style w:type="character" w:styleId="a4" w:customStyle="1">
    <w:name w:val="כותרת טקסט תו"/>
    <w:basedOn w:val="a0"/>
    <w:link w:val="a3"/>
    <w:uiPriority w:val="10"/>
    <w:locked w:val="1"/>
    <w:rsid w:val="00A74913"/>
    <w:rPr>
      <w:rFonts w:ascii="Calibri" w:cs="Calibri" w:hAnsi="Calibri"/>
      <w:b w:val="1"/>
      <w:bCs w:val="1"/>
      <w:color w:val="000000"/>
      <w:lang w:bidi="ar-SA" w:eastAsia="en-US" w:val="en-US"/>
    </w:rPr>
  </w:style>
  <w:style w:type="character" w:styleId="a7">
    <w:name w:val="annotation reference"/>
    <w:basedOn w:val="a0"/>
    <w:uiPriority w:val="99"/>
    <w:rPr>
      <w:rFonts w:cs="Times New Roman"/>
      <w:sz w:val="16"/>
      <w:szCs w:val="16"/>
    </w:rPr>
  </w:style>
  <w:style w:type="character" w:styleId="a6" w:customStyle="1">
    <w:name w:val="כותרת משנה תו"/>
    <w:basedOn w:val="a0"/>
    <w:link w:val="a5"/>
    <w:uiPriority w:val="11"/>
    <w:locked w:val="1"/>
    <w:rPr>
      <w:rFonts w:cs="Times New Roman" w:asciiTheme="majorHAnsi" w:eastAsiaTheme="majorEastAsia" w:hAnsiTheme="majorHAnsi"/>
      <w:color w:val="000000"/>
      <w:sz w:val="24"/>
      <w:szCs w:val="24"/>
    </w:rPr>
  </w:style>
  <w:style w:type="character" w:styleId="a8">
    <w:name w:val="footnote reference"/>
    <w:basedOn w:val="a0"/>
    <w:uiPriority w:val="99"/>
    <w:rPr>
      <w:rFonts w:cs="Times New Roman"/>
      <w:vertAlign w:val="superscript"/>
    </w:rPr>
  </w:style>
  <w:style w:type="paragraph" w:styleId="a9">
    <w:name w:val="footnote text"/>
    <w:basedOn w:val="a"/>
    <w:link w:val="aa"/>
    <w:uiPriority w:val="99"/>
    <w:rPr>
      <w:sz w:val="20"/>
      <w:szCs w:val="20"/>
    </w:rPr>
  </w:style>
  <w:style w:type="paragraph" w:styleId="ab">
    <w:name w:val="Revision"/>
    <w:hidden w:val="1"/>
    <w:uiPriority w:val="99"/>
    <w:semiHidden w:val="1"/>
    <w:locked w:val="1"/>
    <w:rsid w:val="00985A08"/>
    <w:rPr>
      <w:color w:val="000000"/>
    </w:rPr>
  </w:style>
  <w:style w:type="character" w:styleId="aa" w:customStyle="1">
    <w:name w:val="טקסט הערת שוליים תו"/>
    <w:basedOn w:val="a0"/>
    <w:link w:val="a9"/>
    <w:uiPriority w:val="99"/>
    <w:semiHidden w:val="1"/>
    <w:locked w:val="1"/>
    <w:rPr>
      <w:rFonts w:ascii="Calibri" w:cs="Calibri" w:hAnsi="Calibri"/>
      <w:color w:val="000000"/>
      <w:sz w:val="20"/>
      <w:szCs w:val="20"/>
    </w:rPr>
  </w:style>
  <w:style w:type="paragraph" w:styleId="ac">
    <w:name w:val="annotation text"/>
    <w:basedOn w:val="a"/>
    <w:link w:val="ad"/>
    <w:uiPriority w:val="99"/>
    <w:rsid w:val="003A7DFE"/>
    <w:rPr>
      <w:sz w:val="20"/>
      <w:szCs w:val="20"/>
    </w:rPr>
  </w:style>
  <w:style w:type="paragraph" w:styleId="ae">
    <w:name w:val="annotation subject"/>
    <w:basedOn w:val="ac"/>
    <w:next w:val="ac"/>
    <w:link w:val="af"/>
    <w:uiPriority w:val="99"/>
    <w:rsid w:val="003A7DFE"/>
    <w:rPr>
      <w:b w:val="1"/>
      <w:bCs w:val="1"/>
    </w:rPr>
  </w:style>
  <w:style w:type="character" w:styleId="ad" w:customStyle="1">
    <w:name w:val="טקסט הערה תו"/>
    <w:basedOn w:val="a0"/>
    <w:link w:val="ac"/>
    <w:uiPriority w:val="99"/>
    <w:locked w:val="1"/>
    <w:rsid w:val="003A7DFE"/>
    <w:rPr>
      <w:rFonts w:ascii="Calibri" w:cs="Calibri" w:hAnsi="Calibri"/>
      <w:color w:val="000000"/>
      <w:sz w:val="20"/>
      <w:szCs w:val="20"/>
    </w:rPr>
  </w:style>
  <w:style w:type="paragraph" w:styleId="spacer" w:customStyle="1">
    <w:name w:val="spacer"/>
    <w:link w:val="spacerChar"/>
    <w:qFormat w:val="1"/>
    <w:rsid w:val="00AF1A77"/>
    <w:pPr>
      <w:spacing w:line="60" w:lineRule="exact"/>
    </w:pPr>
    <w:rPr>
      <w:color w:val="000000"/>
      <w:lang w:bidi="ar-SA"/>
    </w:rPr>
  </w:style>
  <w:style w:type="character" w:styleId="af" w:customStyle="1">
    <w:name w:val="נושא הערה תו"/>
    <w:basedOn w:val="ad"/>
    <w:link w:val="ae"/>
    <w:uiPriority w:val="99"/>
    <w:locked w:val="1"/>
    <w:rsid w:val="003A7DFE"/>
    <w:rPr>
      <w:rFonts w:ascii="Calibri" w:cs="Calibri" w:hAnsi="Calibri"/>
      <w:b w:val="1"/>
      <w:bCs w:val="1"/>
      <w:color w:val="000000"/>
      <w:sz w:val="20"/>
      <w:szCs w:val="20"/>
    </w:rPr>
  </w:style>
  <w:style w:type="character" w:styleId="spacerChar" w:customStyle="1">
    <w:name w:val="spacer Char"/>
    <w:basedOn w:val="a0"/>
    <w:link w:val="spacer"/>
    <w:locked w:val="1"/>
    <w:rsid w:val="00AF1A77"/>
    <w:rPr>
      <w:rFonts w:ascii="Calibri" w:cs="Calibri" w:hAnsi="Calibri"/>
      <w:color w:val="000000"/>
      <w:lang w:bidi="ar-SA" w:eastAsia="x-none" w:val="en-US"/>
    </w:rPr>
  </w:style>
  <w:style w:type="paragraph" w:styleId="NormalWeb">
    <w:name w:val="Normal (Web)"/>
    <w:basedOn w:val="a"/>
    <w:uiPriority w:val="99"/>
    <w:unhideWhenUsed w:val="1"/>
    <w:rsid w:val="00AC29D8"/>
    <w:pPr>
      <w:widowControl w:val="1"/>
      <w:spacing w:after="100" w:afterAutospacing="1" w:before="100" w:beforeAutospacing="1"/>
    </w:pPr>
    <w:rPr>
      <w:rFonts w:ascii="Times New Roman" w:cs="Times New Roman" w:hAnsi="Times New Roman"/>
      <w:color w:val="auto"/>
      <w:sz w:val="24"/>
      <w:szCs w:val="24"/>
    </w:rPr>
  </w:style>
  <w:style w:type="character" w:styleId="af0">
    <w:name w:val="Emphasis"/>
    <w:basedOn w:val="a0"/>
    <w:uiPriority w:val="20"/>
    <w:qFormat w:val="1"/>
    <w:locked w:val="1"/>
    <w:rsid w:val="005908A9"/>
    <w:rPr>
      <w:i w:val="1"/>
      <w:iCs w:val="1"/>
    </w:rPr>
  </w:style>
  <w:style w:type="paragraph" w:styleId="af1">
    <w:name w:val="Balloon Text"/>
    <w:basedOn w:val="a"/>
    <w:link w:val="af2"/>
    <w:rsid w:val="00162DDA"/>
    <w:rPr>
      <w:rFonts w:ascii="Segoe UI" w:cs="Segoe UI" w:hAnsi="Segoe UI"/>
      <w:sz w:val="18"/>
      <w:szCs w:val="18"/>
    </w:rPr>
  </w:style>
  <w:style w:type="character" w:styleId="af2" w:customStyle="1">
    <w:name w:val="טקסט בלונים תו"/>
    <w:basedOn w:val="a0"/>
    <w:link w:val="af1"/>
    <w:rsid w:val="00162DDA"/>
    <w:rPr>
      <w:rFonts w:ascii="Segoe UI" w:cs="Segoe UI" w:hAnsi="Segoe UI"/>
      <w:color w:val="000000"/>
      <w:sz w:val="18"/>
      <w:szCs w:val="18"/>
    </w:rPr>
  </w:style>
  <w:style w:type="paragraph" w:styleId="af3">
    <w:name w:val="header"/>
    <w:basedOn w:val="a"/>
    <w:link w:val="af4"/>
    <w:rsid w:val="00162DDA"/>
    <w:pPr>
      <w:tabs>
        <w:tab w:val="center" w:pos="4513"/>
        <w:tab w:val="right" w:pos="9026"/>
      </w:tabs>
    </w:pPr>
  </w:style>
  <w:style w:type="character" w:styleId="af4" w:customStyle="1">
    <w:name w:val="כותרת עליונה תו"/>
    <w:basedOn w:val="a0"/>
    <w:link w:val="af3"/>
    <w:rsid w:val="00162DDA"/>
    <w:rPr>
      <w:rFonts w:ascii="Calibri" w:cs="Calibri" w:hAnsi="Calibri"/>
      <w:color w:val="000000"/>
    </w:rPr>
  </w:style>
  <w:style w:type="paragraph" w:styleId="af5">
    <w:name w:val="footer"/>
    <w:basedOn w:val="a"/>
    <w:link w:val="af6"/>
    <w:rsid w:val="00162DDA"/>
    <w:pPr>
      <w:tabs>
        <w:tab w:val="center" w:pos="4513"/>
        <w:tab w:val="right" w:pos="9026"/>
      </w:tabs>
    </w:pPr>
  </w:style>
  <w:style w:type="character" w:styleId="af6" w:customStyle="1">
    <w:name w:val="כותרת תחתונה תו"/>
    <w:basedOn w:val="a0"/>
    <w:link w:val="af5"/>
    <w:rsid w:val="00162DDA"/>
    <w:rPr>
      <w:rFonts w:ascii="Calibri" w:cs="Calibri" w:hAnsi="Calibri"/>
      <w:color w:val="000000"/>
    </w:rPr>
  </w:style>
  <w:style w:type="table" w:styleId="16" w:customStyle="1">
    <w:name w:val="16"/>
    <w:basedOn w:val="TableNormal1"/>
    <w:tblPr>
      <w:tblStyleRowBandSize w:val="1"/>
      <w:tblStyleColBandSize w:val="1"/>
      <w:tblCellMar>
        <w:left w:w="115.0" w:type="dxa"/>
        <w:right w:w="115.0" w:type="dxa"/>
      </w:tblCellMar>
    </w:tblPr>
  </w:style>
  <w:style w:type="table" w:styleId="15" w:customStyle="1">
    <w:name w:val="15"/>
    <w:basedOn w:val="TableNormal1"/>
    <w:tblPr>
      <w:tblStyleRowBandSize w:val="1"/>
      <w:tblStyleColBandSize w:val="1"/>
      <w:tblCellMar>
        <w:left w:w="115.0" w:type="dxa"/>
        <w:right w:w="115.0" w:type="dxa"/>
      </w:tblCellMar>
    </w:tblPr>
  </w:style>
  <w:style w:type="table" w:styleId="14" w:customStyle="1">
    <w:name w:val="14"/>
    <w:basedOn w:val="TableNormal1"/>
    <w:tblPr>
      <w:tblStyleRowBandSize w:val="1"/>
      <w:tblStyleColBandSize w:val="1"/>
      <w:tblCellMar>
        <w:left w:w="115.0" w:type="dxa"/>
        <w:right w:w="115.0" w:type="dxa"/>
      </w:tblCellMar>
    </w:tblPr>
  </w:style>
  <w:style w:type="table" w:styleId="13" w:customStyle="1">
    <w:name w:val="13"/>
    <w:basedOn w:val="TableNormal1"/>
    <w:tblPr>
      <w:tblStyleRowBandSize w:val="1"/>
      <w:tblStyleColBandSize w:val="1"/>
      <w:tblCellMar>
        <w:left w:w="115.0" w:type="dxa"/>
        <w:right w:w="115.0" w:type="dxa"/>
      </w:tblCellMar>
    </w:tblPr>
  </w:style>
  <w:style w:type="table" w:styleId="12" w:customStyle="1">
    <w:name w:val="12"/>
    <w:basedOn w:val="TableNormal1"/>
    <w:tblPr>
      <w:tblStyleRowBandSize w:val="1"/>
      <w:tblStyleColBandSize w:val="1"/>
      <w:tblCellMar>
        <w:left w:w="115.0" w:type="dxa"/>
        <w:right w:w="115.0" w:type="dxa"/>
      </w:tblCellMar>
    </w:tblPr>
  </w:style>
  <w:style w:type="table" w:styleId="11" w:customStyle="1">
    <w:name w:val="11"/>
    <w:basedOn w:val="TableNormal1"/>
    <w:tblPr>
      <w:tblStyleRowBandSize w:val="1"/>
      <w:tblStyleColBandSize w:val="1"/>
      <w:tblCellMar>
        <w:left w:w="115.0" w:type="dxa"/>
        <w:right w:w="115.0" w:type="dxa"/>
      </w:tblCellMar>
    </w:tblPr>
  </w:style>
  <w:style w:type="table" w:styleId="100" w:customStyle="1">
    <w:name w:val="10"/>
    <w:basedOn w:val="TableNormal1"/>
    <w:tblPr>
      <w:tblStyleRowBandSize w:val="1"/>
      <w:tblStyleColBandSize w:val="1"/>
      <w:tblCellMar>
        <w:left w:w="115.0" w:type="dxa"/>
        <w:right w:w="115.0" w:type="dxa"/>
      </w:tblCellMar>
    </w:tblPr>
  </w:style>
  <w:style w:type="table" w:styleId="9" w:customStyle="1">
    <w:name w:val="9"/>
    <w:basedOn w:val="TableNormal1"/>
    <w:tblPr>
      <w:tblStyleRowBandSize w:val="1"/>
      <w:tblStyleColBandSize w:val="1"/>
      <w:tblCellMar>
        <w:left w:w="115.0" w:type="dxa"/>
        <w:right w:w="115.0" w:type="dxa"/>
      </w:tblCellMar>
    </w:tblPr>
  </w:style>
  <w:style w:type="table" w:styleId="8" w:customStyle="1">
    <w:name w:val="8"/>
    <w:basedOn w:val="TableNormal1"/>
    <w:tblPr>
      <w:tblStyleRowBandSize w:val="1"/>
      <w:tblStyleColBandSize w:val="1"/>
      <w:tblCellMar>
        <w:left w:w="115.0" w:type="dxa"/>
        <w:right w:w="115.0" w:type="dxa"/>
      </w:tblCellMar>
    </w:tblPr>
  </w:style>
  <w:style w:type="table" w:styleId="7" w:customStyle="1">
    <w:name w:val="7"/>
    <w:basedOn w:val="TableNormal1"/>
    <w:tblPr>
      <w:tblStyleRowBandSize w:val="1"/>
      <w:tblStyleColBandSize w:val="1"/>
      <w:tblCellMar>
        <w:left w:w="115.0" w:type="dxa"/>
        <w:right w:w="115.0" w:type="dxa"/>
      </w:tblCellMar>
    </w:tblPr>
  </w:style>
  <w:style w:type="table" w:styleId="61" w:customStyle="1">
    <w:name w:val="6"/>
    <w:basedOn w:val="TableNormal1"/>
    <w:tblPr>
      <w:tblStyleRowBandSize w:val="1"/>
      <w:tblStyleColBandSize w:val="1"/>
      <w:tblCellMar>
        <w:left w:w="115.0" w:type="dxa"/>
        <w:right w:w="115.0" w:type="dxa"/>
      </w:tblCellMar>
    </w:tblPr>
  </w:style>
  <w:style w:type="table" w:styleId="51" w:customStyle="1">
    <w:name w:val="5"/>
    <w:basedOn w:val="TableNormal1"/>
    <w:tblPr>
      <w:tblStyleRowBandSize w:val="1"/>
      <w:tblStyleColBandSize w:val="1"/>
      <w:tblCellMar>
        <w:left w:w="115.0" w:type="dxa"/>
        <w:right w:w="115.0" w:type="dxa"/>
      </w:tblCellMar>
    </w:tblPr>
  </w:style>
  <w:style w:type="table" w:styleId="41" w:customStyle="1">
    <w:name w:val="4"/>
    <w:basedOn w:val="TableNormal1"/>
    <w:tblPr>
      <w:tblStyleRowBandSize w:val="1"/>
      <w:tblStyleColBandSize w:val="1"/>
      <w:tblCellMar>
        <w:left w:w="115.0" w:type="dxa"/>
        <w:right w:w="115.0" w:type="dxa"/>
      </w:tblCellMar>
    </w:tblPr>
  </w:style>
  <w:style w:type="table" w:styleId="31" w:customStyle="1">
    <w:name w:val="3"/>
    <w:basedOn w:val="TableNormal1"/>
    <w:tblPr>
      <w:tblStyleRowBandSize w:val="1"/>
      <w:tblStyleColBandSize w:val="1"/>
      <w:tblCellMar>
        <w:left w:w="115.0" w:type="dxa"/>
        <w:right w:w="115.0" w:type="dxa"/>
      </w:tblCellMar>
    </w:tblPr>
  </w:style>
  <w:style w:type="table" w:styleId="21" w:customStyle="1">
    <w:name w:val="2"/>
    <w:basedOn w:val="TableNormal1"/>
    <w:tblPr>
      <w:tblStyleRowBandSize w:val="1"/>
      <w:tblStyleColBandSize w:val="1"/>
      <w:tblCellMar>
        <w:left w:w="115.0" w:type="dxa"/>
        <w:right w:w="115.0" w:type="dxa"/>
      </w:tblCellMar>
    </w:tblPr>
  </w:style>
  <w:style w:type="table" w:styleId="17" w:customStyle="1">
    <w:name w:val="1"/>
    <w:basedOn w:val="TableNormal1"/>
    <w:tblPr>
      <w:tblStyleRowBandSize w:val="1"/>
      <w:tblStyleColBandSize w:val="1"/>
      <w:tblCellMar>
        <w:left w:w="115.0" w:type="dxa"/>
        <w:right w:w="115.0" w:type="dxa"/>
      </w:tblCellMar>
    </w:tblPr>
  </w:style>
  <w:style w:type="paragraph" w:styleId="af7">
    <w:name w:val="List Paragraph"/>
    <w:aliases w:val="Dot pt,F5 List Paragraph,List Paragraph1,No Spacing1,List Paragraph Char Char Char,Indicator Text,Numbered Para 1,Bullet Points,MAIN CONTENT,List Paragraph12,Bullet 1,OBC Bullet,Colorful List - Accent 11,List Paragraph2,Task Body,Nad"/>
    <w:basedOn w:val="a"/>
    <w:link w:val="af8"/>
    <w:uiPriority w:val="34"/>
    <w:qFormat w:val="1"/>
    <w:rsid w:val="002C2390"/>
    <w:pPr>
      <w:ind w:left="720"/>
      <w:contextualSpacing w:val="1"/>
    </w:pPr>
  </w:style>
  <w:style w:type="table" w:styleId="af9">
    <w:name w:val="Table Grid"/>
    <w:basedOn w:val="a1"/>
    <w:uiPriority w:val="39"/>
    <w:rsid w:val="00AA0F6E"/>
    <w:pPr>
      <w:widowControl w:val="1"/>
    </w:pPr>
    <w:rPr>
      <w:rFonts w:cs="Times New Roman" w:eastAsia="Times New Roman"/>
      <w:sz w:val="20"/>
      <w:szCs w:val="20"/>
      <w:lang w:bidi="ar-SA" w:eastAsia="en-GB"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a">
    <w:name w:val="Strong"/>
    <w:basedOn w:val="a0"/>
    <w:uiPriority w:val="22"/>
    <w:qFormat w:val="1"/>
    <w:rsid w:val="008B4202"/>
    <w:rPr>
      <w:b w:val="1"/>
      <w:bCs w:val="1"/>
    </w:rPr>
  </w:style>
  <w:style w:type="character" w:styleId="Hyperlink">
    <w:name w:val="Hyperlink"/>
    <w:basedOn w:val="a0"/>
    <w:uiPriority w:val="99"/>
    <w:unhideWhenUsed w:val="1"/>
    <w:rsid w:val="00A93669"/>
    <w:rPr>
      <w:color w:val="0000ff"/>
      <w:u w:val="single"/>
    </w:rPr>
  </w:style>
  <w:style w:type="character" w:styleId="af8" w:customStyle="1">
    <w:name w:val="פיסקת רשימה תו"/>
    <w:aliases w:val="Dot pt תו,F5 List Paragraph תו,List Paragraph1 תו,No Spacing1 תו,List Paragraph Char Char Char תו,Indicator Text תו,Numbered Para 1 תו,Bullet Points תו,MAIN CONTENT תו,List Paragraph12 תו,Bullet 1 תו,OBC Bullet תו,List Paragraph2 תו"/>
    <w:basedOn w:val="a0"/>
    <w:link w:val="af7"/>
    <w:uiPriority w:val="34"/>
    <w:qFormat w:val="1"/>
    <w:locked w:val="1"/>
    <w:rsid w:val="00F87782"/>
    <w:rPr>
      <w:color w:val="000000"/>
    </w:rPr>
  </w:style>
  <w:style w:type="character" w:styleId="normaltextrun" w:customStyle="1">
    <w:name w:val="normaltextrun"/>
    <w:basedOn w:val="a0"/>
    <w:rsid w:val="00225A6F"/>
  </w:style>
  <w:style w:type="character" w:styleId="afb">
    <w:name w:val="Unresolved Mention"/>
    <w:basedOn w:val="a0"/>
    <w:uiPriority w:val="99"/>
    <w:semiHidden w:val="1"/>
    <w:unhideWhenUsed w:val="1"/>
    <w:rsid w:val="00A47EF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edarnd.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Wws07IP86QkAcQiOT7/5xp3eKg==">CgMxLjAyCWguMWZvYjl0ZTIJaC4yZXQ5MnAwMghoLnR5amN3dDIJaC4zZHk2dmttMgloLjJqeHN4cWgyCGguejMzN3lhMgloLjNqMnFxbTMyCWguMXk4MTB0dzIJaC4yeGN5dHBpOAByITFrU0JRUnoyekdkNFdxaWo3TFV3ZTF6QjBPWldEbHZsNQ==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2024-09-18T12:28:00Z</dcterms:created>
  <dc:creator>Natalie Page</dc:creator>
</cp:coreProperties>
</file>