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11"/>
        <w:tblW w:w="10108"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0"/>
        <w:gridCol w:w="7778"/>
      </w:tblGrid>
      <w:tr w:rsidR="00BE7C76" w:rsidRPr="00BE7C76" w14:paraId="7136B7E9" w14:textId="77777777" w:rsidTr="00FD029F">
        <w:tc>
          <w:tcPr>
            <w:tcW w:w="2330" w:type="dxa"/>
            <w:shd w:val="clear" w:color="auto" w:fill="BDD7EE"/>
          </w:tcPr>
          <w:p w14:paraId="1BD09705" w14:textId="77777777" w:rsidR="00BE7C76" w:rsidRPr="00BE7C76" w:rsidRDefault="00BE7C76" w:rsidP="00BE7C76">
            <w:pPr>
              <w:bidi w:val="0"/>
              <w:rPr>
                <w:b/>
                <w:color w:val="000000"/>
              </w:rPr>
            </w:pPr>
            <w:r w:rsidRPr="00BE7C76">
              <w:rPr>
                <w:b/>
                <w:color w:val="000000"/>
              </w:rPr>
              <w:t xml:space="preserve">Work package number </w:t>
            </w:r>
          </w:p>
        </w:tc>
        <w:tc>
          <w:tcPr>
            <w:tcW w:w="7778" w:type="dxa"/>
            <w:shd w:val="clear" w:color="auto" w:fill="BDD7EE"/>
          </w:tcPr>
          <w:p w14:paraId="2C3E685E" w14:textId="77777777" w:rsidR="00BE7C76" w:rsidRPr="00BE7C76" w:rsidRDefault="00BE7C76" w:rsidP="00BE7C76">
            <w:pPr>
              <w:bidi w:val="0"/>
              <w:rPr>
                <w:b/>
                <w:color w:val="000000"/>
              </w:rPr>
            </w:pPr>
            <w:r w:rsidRPr="00BE7C76">
              <w:rPr>
                <w:b/>
                <w:color w:val="000000"/>
              </w:rPr>
              <w:t>2</w:t>
            </w:r>
          </w:p>
        </w:tc>
      </w:tr>
      <w:tr w:rsidR="00BE7C76" w:rsidRPr="00BE7C76" w14:paraId="4A3A0B36" w14:textId="77777777" w:rsidTr="00FD029F">
        <w:tc>
          <w:tcPr>
            <w:tcW w:w="2330" w:type="dxa"/>
            <w:shd w:val="clear" w:color="auto" w:fill="BDD7EE"/>
          </w:tcPr>
          <w:p w14:paraId="5B3A56B6" w14:textId="77777777" w:rsidR="00BE7C76" w:rsidRPr="00BE7C76" w:rsidRDefault="00BE7C76" w:rsidP="00BE7C76">
            <w:pPr>
              <w:bidi w:val="0"/>
              <w:rPr>
                <w:b/>
                <w:color w:val="000000"/>
              </w:rPr>
            </w:pPr>
            <w:r w:rsidRPr="00BE7C76">
              <w:rPr>
                <w:b/>
                <w:color w:val="000000"/>
              </w:rPr>
              <w:t>Work package title</w:t>
            </w:r>
          </w:p>
        </w:tc>
        <w:tc>
          <w:tcPr>
            <w:tcW w:w="7778" w:type="dxa"/>
            <w:shd w:val="clear" w:color="auto" w:fill="BDD7EE"/>
          </w:tcPr>
          <w:p w14:paraId="681D61B3" w14:textId="77777777" w:rsidR="00BE7C76" w:rsidRPr="00BE7C76" w:rsidRDefault="00BE7C76" w:rsidP="00BE7C76">
            <w:pPr>
              <w:bidi w:val="0"/>
              <w:rPr>
                <w:b/>
                <w:color w:val="000000"/>
              </w:rPr>
            </w:pPr>
            <w:r w:rsidRPr="00BE7C76">
              <w:rPr>
                <w:b/>
                <w:color w:val="000000"/>
              </w:rPr>
              <w:t>Fusion molecule design, production, and validation</w:t>
            </w:r>
          </w:p>
        </w:tc>
      </w:tr>
      <w:tr w:rsidR="00BE7C76" w:rsidRPr="00BE7C76" w14:paraId="61FE2386" w14:textId="77777777" w:rsidTr="00FD029F">
        <w:tc>
          <w:tcPr>
            <w:tcW w:w="10108" w:type="dxa"/>
            <w:gridSpan w:val="2"/>
          </w:tcPr>
          <w:p w14:paraId="2FCCE1C6" w14:textId="77777777" w:rsidR="00BE7C76" w:rsidRPr="00BE7C76" w:rsidRDefault="00BE7C76" w:rsidP="00BE7C76">
            <w:pPr>
              <w:bidi w:val="0"/>
              <w:rPr>
                <w:b/>
                <w:color w:val="000000"/>
              </w:rPr>
            </w:pPr>
            <w:r w:rsidRPr="00BE7C76">
              <w:rPr>
                <w:b/>
                <w:color w:val="000000"/>
              </w:rPr>
              <w:t>Objectives</w:t>
            </w:r>
            <w:r w:rsidRPr="00BE7C76">
              <w:rPr>
                <w:color w:val="000000"/>
              </w:rPr>
              <w:t xml:space="preserve">: </w:t>
            </w:r>
            <w:r w:rsidRPr="00BE7C76">
              <w:rPr>
                <w:b/>
                <w:color w:val="000000"/>
              </w:rPr>
              <w:t>2.1</w:t>
            </w:r>
            <w:r w:rsidRPr="00BE7C76">
              <w:rPr>
                <w:color w:val="000000"/>
              </w:rPr>
              <w:t xml:space="preserve"> Design and manufacture immunocytokines. </w:t>
            </w:r>
            <w:r w:rsidRPr="00BE7C76">
              <w:rPr>
                <w:b/>
                <w:color w:val="000000"/>
              </w:rPr>
              <w:t xml:space="preserve">2.2 </w:t>
            </w:r>
            <w:r w:rsidRPr="00BE7C76">
              <w:rPr>
                <w:color w:val="000000"/>
              </w:rPr>
              <w:t xml:space="preserve">Validate molecule activity </w:t>
            </w:r>
            <w:proofErr w:type="gramStart"/>
            <w:r w:rsidRPr="00BE7C76">
              <w:rPr>
                <w:i/>
                <w:color w:val="000000"/>
              </w:rPr>
              <w:t>in-vitro</w:t>
            </w:r>
            <w:proofErr w:type="gramEnd"/>
            <w:r w:rsidRPr="00BE7C76">
              <w:rPr>
                <w:color w:val="000000"/>
              </w:rPr>
              <w:t xml:space="preserve"> and </w:t>
            </w:r>
            <w:r w:rsidRPr="00BE7C76">
              <w:rPr>
                <w:i/>
                <w:color w:val="000000"/>
              </w:rPr>
              <w:t>in-vivo</w:t>
            </w:r>
            <w:r w:rsidRPr="00BE7C76">
              <w:rPr>
                <w:color w:val="000000"/>
              </w:rPr>
              <w:t>.</w:t>
            </w:r>
          </w:p>
        </w:tc>
      </w:tr>
      <w:tr w:rsidR="00BE7C76" w:rsidRPr="00BE7C76" w14:paraId="055DC5A3" w14:textId="77777777" w:rsidTr="00FD029F">
        <w:tc>
          <w:tcPr>
            <w:tcW w:w="10108" w:type="dxa"/>
            <w:gridSpan w:val="2"/>
          </w:tcPr>
          <w:p w14:paraId="6DA5A72A" w14:textId="77777777" w:rsidR="00BE7C76" w:rsidRPr="00BE7C76" w:rsidRDefault="00BE7C76" w:rsidP="00BE7C76">
            <w:pPr>
              <w:bidi w:val="0"/>
              <w:jc w:val="both"/>
              <w:rPr>
                <w:color w:val="000000"/>
              </w:rPr>
            </w:pPr>
            <w:r w:rsidRPr="00BE7C76">
              <w:rPr>
                <w:b/>
                <w:color w:val="000000"/>
              </w:rPr>
              <w:t xml:space="preserve">Description of work. </w:t>
            </w:r>
            <w:r w:rsidRPr="00BE7C76">
              <w:rPr>
                <w:color w:val="000000"/>
              </w:rPr>
              <w:t xml:space="preserve">WP2 focuses on the design, development and production of novel </w:t>
            </w:r>
            <w:proofErr w:type="spellStart"/>
            <w:r w:rsidRPr="00BE7C76">
              <w:rPr>
                <w:color w:val="000000"/>
              </w:rPr>
              <w:t>mAb</w:t>
            </w:r>
            <w:proofErr w:type="spellEnd"/>
            <w:r w:rsidRPr="00BE7C76">
              <w:rPr>
                <w:color w:val="000000"/>
              </w:rPr>
              <w:t xml:space="preserve">-cytokine fusion molecules and the validation of their pro-inflammatory and antineoplastic activity. </w:t>
            </w:r>
          </w:p>
          <w:p w14:paraId="070AEE26" w14:textId="77777777" w:rsidR="00BE7C76" w:rsidRPr="00BE7C76" w:rsidRDefault="00BE7C76" w:rsidP="00BE7C76">
            <w:pPr>
              <w:bidi w:val="0"/>
              <w:jc w:val="both"/>
              <w:rPr>
                <w:color w:val="000000"/>
              </w:rPr>
            </w:pPr>
            <w:r w:rsidRPr="00BE7C76">
              <w:rPr>
                <w:b/>
                <w:color w:val="000000"/>
                <w:u w:val="single"/>
              </w:rPr>
              <w:t>Task 2.1: Design fusion proteins and cleavage sites.</w:t>
            </w:r>
            <w:r w:rsidRPr="00BE7C76">
              <w:rPr>
                <w:color w:val="000000"/>
              </w:rPr>
              <w:t xml:space="preserve"> We will develop the optimal structures for the fusion proteins of the top 3–5 </w:t>
            </w:r>
            <w:proofErr w:type="spellStart"/>
            <w:r w:rsidRPr="00BE7C76">
              <w:rPr>
                <w:color w:val="000000"/>
              </w:rPr>
              <w:t>mAb</w:t>
            </w:r>
            <w:proofErr w:type="spellEnd"/>
            <w:r w:rsidRPr="00BE7C76">
              <w:rPr>
                <w:color w:val="000000"/>
              </w:rPr>
              <w:t xml:space="preserve">-cytokine combinations identified in WP1, using advanced techniques in protein design. The design process will include the selection of the most suitable peptide linkers, blocking moieties, TAM-specific cleavage sites and the computational optimization of protein structure and stability. </w:t>
            </w:r>
          </w:p>
          <w:p w14:paraId="495ECCE5" w14:textId="77777777" w:rsidR="00BE7C76" w:rsidRPr="00BE7C76" w:rsidRDefault="00BE7C76" w:rsidP="00BE7C76">
            <w:pPr>
              <w:bidi w:val="0"/>
              <w:rPr>
                <w:color w:val="000000"/>
              </w:rPr>
            </w:pPr>
            <w:r w:rsidRPr="00BE7C76">
              <w:rPr>
                <w:b/>
                <w:color w:val="000000"/>
                <w:u w:val="single"/>
              </w:rPr>
              <w:t>Task 2.2: Produce fusion proteins.</w:t>
            </w:r>
            <w:r w:rsidRPr="00BE7C76">
              <w:rPr>
                <w:color w:val="000000"/>
              </w:rPr>
              <w:t xml:space="preserve"> Building on the designs developed in Task 2.1, we will manufacture the 3–5 </w:t>
            </w:r>
            <w:proofErr w:type="spellStart"/>
            <w:r w:rsidRPr="00BE7C76">
              <w:rPr>
                <w:color w:val="000000"/>
              </w:rPr>
              <w:t>mAb</w:t>
            </w:r>
            <w:proofErr w:type="spellEnd"/>
            <w:r w:rsidRPr="00BE7C76">
              <w:rPr>
                <w:color w:val="000000"/>
              </w:rPr>
              <w:t>-cytokine fusion proteins. The protein synthesis will be done by a contract research organization (CRO) selected based on our experience with leading CROs based on quality and punctual production. The production will include the selection of stable molecules with high protein expression and no aggregation.</w:t>
            </w:r>
          </w:p>
          <w:p w14:paraId="54E743A8" w14:textId="77777777" w:rsidR="00BE7C76" w:rsidRPr="00BE7C76" w:rsidRDefault="00BE7C76" w:rsidP="00BE7C76">
            <w:pPr>
              <w:bidi w:val="0"/>
              <w:rPr>
                <w:color w:val="000000"/>
              </w:rPr>
            </w:pPr>
            <w:r w:rsidRPr="00BE7C76">
              <w:rPr>
                <w:b/>
                <w:bCs/>
                <w:color w:val="000000"/>
                <w:u w:val="single"/>
              </w:rPr>
              <w:t xml:space="preserve">Task 2.3: Validate proteins </w:t>
            </w:r>
            <w:r w:rsidRPr="00BE7C76">
              <w:rPr>
                <w:b/>
                <w:bCs/>
                <w:i/>
                <w:iCs/>
                <w:color w:val="000000"/>
                <w:u w:val="single"/>
              </w:rPr>
              <w:t>in silico</w:t>
            </w:r>
            <w:r w:rsidRPr="00BE7C76">
              <w:rPr>
                <w:b/>
                <w:bCs/>
                <w:color w:val="000000"/>
                <w:u w:val="single"/>
              </w:rPr>
              <w:t xml:space="preserve"> and </w:t>
            </w:r>
            <w:r w:rsidRPr="00BE7C76">
              <w:rPr>
                <w:b/>
                <w:bCs/>
                <w:i/>
                <w:iCs/>
                <w:color w:val="000000"/>
                <w:u w:val="single"/>
              </w:rPr>
              <w:t>in vitro</w:t>
            </w:r>
            <w:r w:rsidRPr="00BE7C76">
              <w:rPr>
                <w:b/>
                <w:bCs/>
                <w:color w:val="000000"/>
                <w:u w:val="single"/>
              </w:rPr>
              <w:t>.</w:t>
            </w:r>
            <w:r w:rsidRPr="00BE7C76">
              <w:rPr>
                <w:color w:val="000000"/>
              </w:rPr>
              <w:t xml:space="preserve"> We will confirm the binding via SPR, ELISA, cell-based binding and reporter assays. </w:t>
            </w:r>
          </w:p>
          <w:p w14:paraId="471B7566" w14:textId="77777777" w:rsidR="00BE7C76" w:rsidRPr="00BE7C76" w:rsidRDefault="00BE7C76" w:rsidP="00BE7C76">
            <w:pPr>
              <w:bidi w:val="0"/>
              <w:jc w:val="both"/>
              <w:rPr>
                <w:color w:val="000000"/>
              </w:rPr>
            </w:pPr>
            <w:r w:rsidRPr="00BE7C76">
              <w:rPr>
                <w:b/>
                <w:color w:val="000000"/>
                <w:u w:val="single"/>
              </w:rPr>
              <w:t>Task 2.4</w:t>
            </w:r>
            <w:r w:rsidRPr="00BE7C76">
              <w:rPr>
                <w:color w:val="000000"/>
                <w:u w:val="single"/>
              </w:rPr>
              <w:t xml:space="preserve">: </w:t>
            </w:r>
            <w:r w:rsidRPr="00BE7C76">
              <w:rPr>
                <w:b/>
                <w:color w:val="000000"/>
                <w:u w:val="single"/>
              </w:rPr>
              <w:t xml:space="preserve">Validate </w:t>
            </w:r>
            <w:proofErr w:type="spellStart"/>
            <w:r w:rsidRPr="00BE7C76">
              <w:rPr>
                <w:b/>
                <w:color w:val="000000"/>
                <w:u w:val="single"/>
              </w:rPr>
              <w:t>MiTE’s</w:t>
            </w:r>
            <w:proofErr w:type="spellEnd"/>
            <w:r w:rsidRPr="00BE7C76">
              <w:rPr>
                <w:b/>
                <w:color w:val="000000"/>
                <w:u w:val="single"/>
              </w:rPr>
              <w:t xml:space="preserve"> effects on myeloid, NK, and T cell activity.</w:t>
            </w:r>
            <w:r w:rsidRPr="00BE7C76">
              <w:rPr>
                <w:color w:val="000000"/>
              </w:rPr>
              <w:t xml:space="preserve"> We will validate </w:t>
            </w:r>
            <w:proofErr w:type="spellStart"/>
            <w:r w:rsidRPr="00BE7C76">
              <w:rPr>
                <w:color w:val="000000"/>
              </w:rPr>
              <w:t>MiTEs’</w:t>
            </w:r>
            <w:proofErr w:type="spellEnd"/>
            <w:r w:rsidRPr="00BE7C76">
              <w:rPr>
                <w:color w:val="000000"/>
              </w:rPr>
              <w:t xml:space="preserve"> impact on interactions between myeloid and lymphoid cell activity using </w:t>
            </w:r>
            <w:r w:rsidRPr="00BE7C76">
              <w:rPr>
                <w:i/>
                <w:color w:val="000000"/>
              </w:rPr>
              <w:t>in-vitro</w:t>
            </w:r>
            <w:r w:rsidRPr="00BE7C76">
              <w:rPr>
                <w:color w:val="000000"/>
              </w:rPr>
              <w:t xml:space="preserve"> assays of co-cultured </w:t>
            </w:r>
            <w:proofErr w:type="spellStart"/>
            <w:r w:rsidRPr="00BE7C76">
              <w:rPr>
                <w:color w:val="000000"/>
              </w:rPr>
              <w:t>huMDMs</w:t>
            </w:r>
            <w:proofErr w:type="spellEnd"/>
            <w:r w:rsidRPr="00BE7C76">
              <w:rPr>
                <w:color w:val="000000"/>
              </w:rPr>
              <w:t xml:space="preserve">, NK or T cells. The data from Task 1.1 will be used as </w:t>
            </w:r>
            <w:proofErr w:type="gramStart"/>
            <w:r w:rsidRPr="00BE7C76">
              <w:rPr>
                <w:color w:val="000000"/>
              </w:rPr>
              <w:t>control</w:t>
            </w:r>
            <w:proofErr w:type="gramEnd"/>
            <w:r w:rsidRPr="00BE7C76">
              <w:rPr>
                <w:color w:val="000000"/>
              </w:rPr>
              <w:t xml:space="preserve">. Cell activity will be measured as in Task 1.1. </w:t>
            </w:r>
          </w:p>
          <w:p w14:paraId="03739D14" w14:textId="77777777" w:rsidR="00BE7C76" w:rsidRPr="00BE7C76" w:rsidRDefault="00BE7C76" w:rsidP="00BE7C76">
            <w:pPr>
              <w:bidi w:val="0"/>
              <w:jc w:val="both"/>
              <w:rPr>
                <w:b/>
                <w:bCs/>
                <w:color w:val="000000"/>
                <w:u w:val="single"/>
              </w:rPr>
            </w:pPr>
            <w:r w:rsidRPr="00BE7C76">
              <w:rPr>
                <w:b/>
                <w:color w:val="000000"/>
                <w:u w:val="single"/>
              </w:rPr>
              <w:t xml:space="preserve">Task 2.5: Validate </w:t>
            </w:r>
            <w:proofErr w:type="spellStart"/>
            <w:r w:rsidRPr="00BE7C76">
              <w:rPr>
                <w:b/>
                <w:color w:val="000000"/>
                <w:u w:val="single"/>
              </w:rPr>
              <w:t>MiTE</w:t>
            </w:r>
            <w:proofErr w:type="spellEnd"/>
            <w:r w:rsidRPr="00BE7C76">
              <w:rPr>
                <w:b/>
                <w:color w:val="000000"/>
                <w:u w:val="single"/>
              </w:rPr>
              <w:t xml:space="preserve"> activity in NK and T cell killing assays.</w:t>
            </w:r>
            <w:r w:rsidRPr="00BE7C76">
              <w:rPr>
                <w:color w:val="000000"/>
              </w:rPr>
              <w:t xml:space="preserve"> To assess the efficacy of the fusion </w:t>
            </w:r>
            <w:proofErr w:type="gramStart"/>
            <w:r w:rsidRPr="00BE7C76">
              <w:rPr>
                <w:color w:val="000000"/>
              </w:rPr>
              <w:t>proteins in</w:t>
            </w:r>
            <w:proofErr w:type="gramEnd"/>
            <w:r w:rsidRPr="00BE7C76">
              <w:rPr>
                <w:color w:val="000000"/>
              </w:rPr>
              <w:t xml:space="preserve"> inducing cytotoxic NK and T cell activity, assays of co-cultured </w:t>
            </w:r>
            <w:proofErr w:type="spellStart"/>
            <w:r w:rsidRPr="00BE7C76">
              <w:rPr>
                <w:color w:val="000000"/>
              </w:rPr>
              <w:t>huMDMs</w:t>
            </w:r>
            <w:proofErr w:type="spellEnd"/>
            <w:r w:rsidRPr="00BE7C76">
              <w:rPr>
                <w:color w:val="000000"/>
              </w:rPr>
              <w:t xml:space="preserve">, NK, or T cells and tumor cells will be treated with the various </w:t>
            </w:r>
            <w:proofErr w:type="spellStart"/>
            <w:r w:rsidRPr="00BE7C76">
              <w:rPr>
                <w:color w:val="000000"/>
              </w:rPr>
              <w:t>mAb</w:t>
            </w:r>
            <w:proofErr w:type="spellEnd"/>
            <w:r w:rsidRPr="00BE7C76">
              <w:rPr>
                <w:color w:val="000000"/>
              </w:rPr>
              <w:t xml:space="preserve">-cytokine chimeras. The data collected in Task 1.2 will be used as </w:t>
            </w:r>
            <w:proofErr w:type="gramStart"/>
            <w:r w:rsidRPr="00BE7C76">
              <w:rPr>
                <w:color w:val="000000"/>
              </w:rPr>
              <w:t>control</w:t>
            </w:r>
            <w:proofErr w:type="gramEnd"/>
            <w:r w:rsidRPr="00BE7C76">
              <w:rPr>
                <w:color w:val="000000"/>
              </w:rPr>
              <w:t>. NK and T cell activity and cytotoxicity levels will be measured as in Task 1.2.</w:t>
            </w:r>
          </w:p>
        </w:tc>
      </w:tr>
    </w:tbl>
    <w:p w14:paraId="1BF0ED6E" w14:textId="77777777" w:rsidR="00BE7C76" w:rsidRDefault="00BE7C76"/>
    <w:sectPr w:rsidR="00BE7C76" w:rsidSect="002833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C76"/>
    <w:rsid w:val="001C337C"/>
    <w:rsid w:val="00283393"/>
    <w:rsid w:val="00BE7C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10C1"/>
  <w15:chartTrackingRefBased/>
  <w15:docId w15:val="{73AAB640-BEFC-4564-9EB3-5751545D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E7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E7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E7C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E7C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E7C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7C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7C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7C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7C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E7C7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E7C7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E7C7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E7C76"/>
    <w:rPr>
      <w:rFonts w:eastAsiaTheme="majorEastAsia" w:cstheme="majorBidi"/>
      <w:i/>
      <w:iCs/>
      <w:color w:val="0F4761" w:themeColor="accent1" w:themeShade="BF"/>
    </w:rPr>
  </w:style>
  <w:style w:type="character" w:customStyle="1" w:styleId="50">
    <w:name w:val="כותרת 5 תו"/>
    <w:basedOn w:val="a0"/>
    <w:link w:val="5"/>
    <w:uiPriority w:val="9"/>
    <w:semiHidden/>
    <w:rsid w:val="00BE7C76"/>
    <w:rPr>
      <w:rFonts w:eastAsiaTheme="majorEastAsia" w:cstheme="majorBidi"/>
      <w:color w:val="0F4761" w:themeColor="accent1" w:themeShade="BF"/>
    </w:rPr>
  </w:style>
  <w:style w:type="character" w:customStyle="1" w:styleId="60">
    <w:name w:val="כותרת 6 תו"/>
    <w:basedOn w:val="a0"/>
    <w:link w:val="6"/>
    <w:uiPriority w:val="9"/>
    <w:semiHidden/>
    <w:rsid w:val="00BE7C76"/>
    <w:rPr>
      <w:rFonts w:eastAsiaTheme="majorEastAsia" w:cstheme="majorBidi"/>
      <w:i/>
      <w:iCs/>
      <w:color w:val="595959" w:themeColor="text1" w:themeTint="A6"/>
    </w:rPr>
  </w:style>
  <w:style w:type="character" w:customStyle="1" w:styleId="70">
    <w:name w:val="כותרת 7 תו"/>
    <w:basedOn w:val="a0"/>
    <w:link w:val="7"/>
    <w:uiPriority w:val="9"/>
    <w:semiHidden/>
    <w:rsid w:val="00BE7C76"/>
    <w:rPr>
      <w:rFonts w:eastAsiaTheme="majorEastAsia" w:cstheme="majorBidi"/>
      <w:color w:val="595959" w:themeColor="text1" w:themeTint="A6"/>
    </w:rPr>
  </w:style>
  <w:style w:type="character" w:customStyle="1" w:styleId="80">
    <w:name w:val="כותרת 8 תו"/>
    <w:basedOn w:val="a0"/>
    <w:link w:val="8"/>
    <w:uiPriority w:val="9"/>
    <w:semiHidden/>
    <w:rsid w:val="00BE7C76"/>
    <w:rPr>
      <w:rFonts w:eastAsiaTheme="majorEastAsia" w:cstheme="majorBidi"/>
      <w:i/>
      <w:iCs/>
      <w:color w:val="272727" w:themeColor="text1" w:themeTint="D8"/>
    </w:rPr>
  </w:style>
  <w:style w:type="character" w:customStyle="1" w:styleId="90">
    <w:name w:val="כותרת 9 תו"/>
    <w:basedOn w:val="a0"/>
    <w:link w:val="9"/>
    <w:uiPriority w:val="9"/>
    <w:semiHidden/>
    <w:rsid w:val="00BE7C76"/>
    <w:rPr>
      <w:rFonts w:eastAsiaTheme="majorEastAsia" w:cstheme="majorBidi"/>
      <w:color w:val="272727" w:themeColor="text1" w:themeTint="D8"/>
    </w:rPr>
  </w:style>
  <w:style w:type="paragraph" w:styleId="a3">
    <w:name w:val="Title"/>
    <w:basedOn w:val="a"/>
    <w:next w:val="a"/>
    <w:link w:val="a4"/>
    <w:uiPriority w:val="10"/>
    <w:qFormat/>
    <w:rsid w:val="00BE7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E7C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7C7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E7C7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E7C76"/>
    <w:pPr>
      <w:spacing w:before="160"/>
      <w:jc w:val="center"/>
    </w:pPr>
    <w:rPr>
      <w:i/>
      <w:iCs/>
      <w:color w:val="404040" w:themeColor="text1" w:themeTint="BF"/>
    </w:rPr>
  </w:style>
  <w:style w:type="character" w:customStyle="1" w:styleId="a8">
    <w:name w:val="ציטוט תו"/>
    <w:basedOn w:val="a0"/>
    <w:link w:val="a7"/>
    <w:uiPriority w:val="29"/>
    <w:rsid w:val="00BE7C76"/>
    <w:rPr>
      <w:i/>
      <w:iCs/>
      <w:color w:val="404040" w:themeColor="text1" w:themeTint="BF"/>
    </w:rPr>
  </w:style>
  <w:style w:type="paragraph" w:styleId="a9">
    <w:name w:val="List Paragraph"/>
    <w:basedOn w:val="a"/>
    <w:uiPriority w:val="34"/>
    <w:qFormat/>
    <w:rsid w:val="00BE7C76"/>
    <w:pPr>
      <w:ind w:left="720"/>
      <w:contextualSpacing/>
    </w:pPr>
  </w:style>
  <w:style w:type="character" w:styleId="aa">
    <w:name w:val="Intense Emphasis"/>
    <w:basedOn w:val="a0"/>
    <w:uiPriority w:val="21"/>
    <w:qFormat/>
    <w:rsid w:val="00BE7C76"/>
    <w:rPr>
      <w:i/>
      <w:iCs/>
      <w:color w:val="0F4761" w:themeColor="accent1" w:themeShade="BF"/>
    </w:rPr>
  </w:style>
  <w:style w:type="paragraph" w:styleId="ab">
    <w:name w:val="Intense Quote"/>
    <w:basedOn w:val="a"/>
    <w:next w:val="a"/>
    <w:link w:val="ac"/>
    <w:uiPriority w:val="30"/>
    <w:qFormat/>
    <w:rsid w:val="00BE7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E7C76"/>
    <w:rPr>
      <w:i/>
      <w:iCs/>
      <w:color w:val="0F4761" w:themeColor="accent1" w:themeShade="BF"/>
    </w:rPr>
  </w:style>
  <w:style w:type="character" w:styleId="ad">
    <w:name w:val="Intense Reference"/>
    <w:basedOn w:val="a0"/>
    <w:uiPriority w:val="32"/>
    <w:qFormat/>
    <w:rsid w:val="00BE7C76"/>
    <w:rPr>
      <w:b/>
      <w:bCs/>
      <w:smallCaps/>
      <w:color w:val="0F4761" w:themeColor="accent1" w:themeShade="BF"/>
      <w:spacing w:val="5"/>
    </w:rPr>
  </w:style>
  <w:style w:type="table" w:customStyle="1" w:styleId="11">
    <w:name w:val="11"/>
    <w:basedOn w:val="a1"/>
    <w:rsid w:val="00BE7C76"/>
    <w:pPr>
      <w:widowControl w:val="0"/>
      <w:spacing w:after="0" w:line="240" w:lineRule="auto"/>
    </w:pPr>
    <w:rPr>
      <w:rFonts w:ascii="Calibri" w:eastAsia="Calibri" w:hAnsi="Calibri" w:cs="Calibri"/>
      <w:kern w:val="0"/>
      <w:sz w:val="22"/>
      <w:szCs w:val="22"/>
      <w14:ligatures w14:val="none"/>
    </w:rPr>
    <w:tblPr>
      <w:tblStyleRowBandSize w:val="1"/>
      <w:tblStyleColBandSize w:val="1"/>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351</Words>
  <Characters>1755</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Ronel</dc:creator>
  <cp:keywords/>
  <dc:description/>
  <cp:lastModifiedBy>Asaf Ronel</cp:lastModifiedBy>
  <cp:revision>1</cp:revision>
  <dcterms:created xsi:type="dcterms:W3CDTF">2024-12-01T14:09:00Z</dcterms:created>
  <dcterms:modified xsi:type="dcterms:W3CDTF">2024-12-01T14:13:00Z</dcterms:modified>
</cp:coreProperties>
</file>