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pStyle w:val="Heading3"/>
        <w:widowControl w:val="0"/>
        <w:spacing w:after="0" w:before="0" w:lineRule="auto"/>
        <w:rPr>
          <w:rFonts w:ascii="Calibri" w:cs="Calibri" w:eastAsia="Calibri" w:hAnsi="Calibri"/>
        </w:rPr>
      </w:pPr>
      <w:bookmarkStart w:colFirst="0" w:colLast="0" w:name="_heading=h.17dp8vu" w:id="0"/>
      <w:bookmarkEnd w:id="0"/>
      <w:r w:rsidDel="00000000" w:rsidR="00000000" w:rsidRPr="00000000">
        <w:rPr>
          <w:rFonts w:ascii="Calibri" w:cs="Calibri" w:eastAsia="Calibri" w:hAnsi="Calibri"/>
          <w:rtl w:val="0"/>
        </w:rPr>
        <w:t xml:space="preserve">Milestones already achieved in the validation of our immunotherapeutic approach </w:t>
      </w:r>
    </w:p>
    <w:p w:rsidR="00000000" w:rsidDel="00000000" w:rsidP="00000000" w:rsidRDefault="00000000" w:rsidRPr="00000000" w14:paraId="00000003">
      <w:pPr>
        <w:jc w:val="both"/>
        <w:rPr/>
      </w:pPr>
      <w:r w:rsidDel="00000000" w:rsidR="00000000" w:rsidRPr="00000000">
        <w:rPr>
          <w:b w:val="1"/>
          <w:i w:val="1"/>
          <w:color w:val="2f5496"/>
          <w:rtl w:val="0"/>
        </w:rPr>
        <w:t xml:space="preserve">Applying our newly developed in-vitro functional screening system to the identification of potent anti-TREM2 mAbs.</w:t>
      </w:r>
      <w:r w:rsidDel="00000000" w:rsidR="00000000" w:rsidRPr="00000000">
        <w:rPr>
          <w:rtl w:val="0"/>
        </w:rPr>
        <w:t xml:space="preserve"> We developed a set of </w:t>
      </w:r>
      <w:r w:rsidDel="00000000" w:rsidR="00000000" w:rsidRPr="00000000">
        <w:rPr>
          <w:i w:val="1"/>
          <w:rtl w:val="0"/>
        </w:rPr>
        <w:t xml:space="preserve">in-vitro</w:t>
      </w:r>
      <w:r w:rsidDel="00000000" w:rsidR="00000000" w:rsidRPr="00000000">
        <w:rPr>
          <w:rtl w:val="0"/>
        </w:rPr>
        <w:t xml:space="preserve"> screening pipelines, including bone-marrow-derived TAMs from our humanized TREM2 mice. Using flow cytometry and scRNA-seq analysis, we showed that monocytes derived from TREM2</w:t>
      </w:r>
      <w:r w:rsidDel="00000000" w:rsidR="00000000" w:rsidRPr="00000000">
        <w:rPr>
          <w:vertAlign w:val="superscript"/>
          <w:rtl w:val="0"/>
        </w:rPr>
        <w:t xml:space="preserve">-/-</w:t>
      </w:r>
      <w:r w:rsidDel="00000000" w:rsidR="00000000" w:rsidRPr="00000000">
        <w:rPr>
          <w:rtl w:val="0"/>
        </w:rPr>
        <w:t xml:space="preserve"> mice do not diversify toward the M2 macrophage state under cytokine-induced conditions. We used the system to validate the functional effect of hundreds of high-affinity and antagonizing anti-TREM2 antibodies we generated on TREM2 activity and identified a handful of molecules with a similar magnitude of TREM2 pathway blocking to the genetic depletion of TREM2</w:t>
      </w:r>
      <w:r w:rsidDel="00000000" w:rsidR="00000000" w:rsidRPr="00000000">
        <w:rPr>
          <w:vertAlign w:val="superscript"/>
          <w:rtl w:val="0"/>
        </w:rPr>
        <w:t xml:space="preserve">-/-</w:t>
      </w:r>
      <w:r w:rsidDel="00000000" w:rsidR="00000000" w:rsidRPr="00000000">
        <w:rPr>
          <w:rtl w:val="0"/>
        </w:rPr>
        <w:t xml:space="preserve">. A comparative scRNA-seq analysis of</w:t>
      </w: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cells treated with the different antibodies revealed that the lead E3C7-antibody (anti-TREM2)-treated cells have near-identical properties, including downstream transcriptome, signaling and cytokine secretion patterns to those of cells derived from TREM2</w:t>
      </w:r>
      <w:r w:rsidDel="00000000" w:rsidR="00000000" w:rsidRPr="00000000">
        <w:rPr>
          <w:vertAlign w:val="superscript"/>
          <w:rtl w:val="0"/>
        </w:rPr>
        <w:t xml:space="preserve">-/- </w:t>
      </w:r>
      <w:r w:rsidDel="00000000" w:rsidR="00000000" w:rsidRPr="00000000">
        <w:rPr>
          <w:rtl w:val="0"/>
        </w:rPr>
        <w:t xml:space="preserve">mice (</w:t>
      </w:r>
      <w:r w:rsidDel="00000000" w:rsidR="00000000" w:rsidRPr="00000000">
        <w:rPr>
          <w:b w:val="1"/>
          <w:rtl w:val="0"/>
        </w:rPr>
        <w:t xml:space="preserve">Fig.3A-C</w:t>
      </w:r>
      <w:r w:rsidDel="00000000" w:rsidR="00000000" w:rsidRPr="00000000">
        <w:rPr>
          <w:rtl w:val="0"/>
        </w:rPr>
        <w:t xml:space="preserve">). Additionally, E3C7 exhibits the strongest binding affinity to its antigen (K</w:t>
      </w:r>
      <w:r w:rsidDel="00000000" w:rsidR="00000000" w:rsidRPr="00000000">
        <w:rPr>
          <w:vertAlign w:val="subscript"/>
          <w:rtl w:val="0"/>
        </w:rPr>
        <w:t xml:space="preserve">D</w:t>
      </w:r>
      <w:r w:rsidDel="00000000" w:rsidR="00000000" w:rsidRPr="00000000">
        <w:rPr>
          <w:rtl w:val="0"/>
        </w:rPr>
        <w:t xml:space="preserve">= </w:t>
      </w:r>
      <w:r w:rsidDel="00000000" w:rsidR="00000000" w:rsidRPr="00000000">
        <w:rPr>
          <w:rFonts w:ascii="Times New Roman" w:cs="Times New Roman" w:eastAsia="Times New Roman" w:hAnsi="Times New Roman"/>
          <w:i w:val="1"/>
          <w:color w:val="000000"/>
          <w:rtl w:val="0"/>
        </w:rPr>
        <w:t xml:space="preserve">8.73E</w:t>
      </w:r>
      <w:r w:rsidDel="00000000" w:rsidR="00000000" w:rsidRPr="00000000">
        <w:rPr>
          <w:rFonts w:ascii="Times New Roman" w:cs="Times New Roman" w:eastAsia="Times New Roman" w:hAnsi="Times New Roman"/>
          <w:i w:val="1"/>
          <w:color w:val="000000"/>
          <w:vertAlign w:val="superscript"/>
          <w:rtl w:val="0"/>
        </w:rPr>
        <w:t xml:space="preserve">-11</w:t>
      </w:r>
      <w:r w:rsidDel="00000000" w:rsidR="00000000" w:rsidRPr="00000000">
        <w:rPr>
          <w:rtl w:val="0"/>
        </w:rPr>
        <w:t xml:space="preserve">). Using our Zman-Seq technology (labeling circulating immune cells with 12-, 24-, and 36-h time stamps </w:t>
      </w:r>
      <w:r w:rsidDel="00000000" w:rsidR="00000000" w:rsidRPr="00000000">
        <w:rPr>
          <w:i w:val="1"/>
          <w:rtl w:val="0"/>
        </w:rPr>
        <w:t xml:space="preserve">in vivo</w:t>
      </w:r>
      <w:r w:rsidDel="00000000" w:rsidR="00000000" w:rsidRPr="00000000">
        <w:rPr>
          <w:rtl w:val="0"/>
        </w:rPr>
        <w:t xml:space="preserve"> allowing to calculate tumor exposure time in immune cells), we captured scRNA profiles of 10,583 high-quality leukocytes sorted from the TME of mice with syngeneic GL261 glioma tumors treated with anti-TREM2 or IgG control antibodies, simultaneously with tumor exposure time stamps (</w:t>
      </w:r>
      <w:r w:rsidDel="00000000" w:rsidR="00000000" w:rsidRPr="00000000">
        <w:rPr>
          <w:b w:val="1"/>
          <w:rtl w:val="0"/>
        </w:rPr>
        <w:t xml:space="preserve">Fig.3D-F</w:t>
      </w:r>
      <w:r w:rsidDel="00000000" w:rsidR="00000000" w:rsidRPr="00000000">
        <w:rPr>
          <w:rtl w:val="0"/>
        </w:rPr>
        <w:t xml:space="preserve">). Analysis of monocyte-to-TAM differentiation in GBM over true empirical time showed a strong correlation between tumor exposure time and Trem2 expression, confirming that Trem2 is highly specific to TAM differentiation in the TME in mice and humans.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914400</wp:posOffset>
                </wp:positionV>
                <wp:extent cx="6544310" cy="6700520"/>
                <wp:effectExtent b="0" l="0" r="0" t="0"/>
                <wp:wrapSquare wrapText="bothSides" distB="0" distT="0" distL="114300" distR="114300"/>
                <wp:docPr id="2135458716" name=""/>
                <a:graphic>
                  <a:graphicData uri="http://schemas.microsoft.com/office/word/2010/wordprocessingGroup">
                    <wpg:wgp>
                      <wpg:cNvGrpSpPr/>
                      <wpg:grpSpPr>
                        <a:xfrm>
                          <a:off x="2073825" y="429725"/>
                          <a:ext cx="6544310" cy="6700520"/>
                          <a:chOff x="2073825" y="429725"/>
                          <a:chExt cx="6544350" cy="6700550"/>
                        </a:xfrm>
                      </wpg:grpSpPr>
                      <wpg:grpSp>
                        <wpg:cNvGrpSpPr/>
                        <wpg:grpSpPr>
                          <a:xfrm>
                            <a:off x="2073845" y="429740"/>
                            <a:ext cx="6544310" cy="6700520"/>
                            <a:chOff x="0" y="0"/>
                            <a:chExt cx="6544310" cy="6701050"/>
                          </a:xfrm>
                        </wpg:grpSpPr>
                        <wps:wsp>
                          <wps:cNvSpPr/>
                          <wps:cNvPr id="3" name="Shape 3"/>
                          <wps:spPr>
                            <a:xfrm>
                              <a:off x="0" y="0"/>
                              <a:ext cx="6544300" cy="6701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4527" y="0"/>
                              <a:ext cx="6478270" cy="6701050"/>
                            </a:xfrm>
                            <a:prstGeom prst="rect">
                              <a:avLst/>
                            </a:prstGeom>
                            <a:solidFill>
                              <a:srgbClr val="FFFFFF"/>
                            </a:solidFill>
                            <a:ln>
                              <a:noFill/>
                            </a:ln>
                          </wps:spPr>
                          <wps:bodyPr anchorCtr="0" anchor="ctr" bIns="91425" lIns="91425" spcFirstLastPara="1" rIns="91425" wrap="square" tIns="91425">
                            <a:noAutofit/>
                          </wps:bodyPr>
                        </wps:wsp>
                        <wps:wsp>
                          <wps:cNvSpPr/>
                          <wps:cNvPr id="5" name="Shape 5"/>
                          <wps:spPr>
                            <a:xfrm>
                              <a:off x="0" y="4535786"/>
                              <a:ext cx="6544310" cy="2156166"/>
                            </a:xfrm>
                            <a:prstGeom prst="rect">
                              <a:avLst/>
                            </a:prstGeom>
                            <a:solidFill>
                              <a:schemeClr val="lt1"/>
                            </a:solidFill>
                            <a:ln>
                              <a:noFill/>
                            </a:ln>
                          </wps:spPr>
                          <wps:txbx>
                            <w:txbxContent>
                              <w:p w:rsidR="00000000" w:rsidDel="00000000" w:rsidP="00000000" w:rsidRDefault="00000000" w:rsidRPr="00000000">
                                <w:pPr>
                                  <w:spacing w:after="0" w:before="0" w:line="240"/>
                                  <w:ind w:left="0" w:right="0" w:firstLine="0"/>
                                  <w:jc w:val="both"/>
                                  <w:textDirection w:val="btLr"/>
                                </w:pPr>
                                <w:r w:rsidDel="00000000" w:rsidR="00000000" w:rsidRPr="00000000">
                                  <w:rPr>
                                    <w:rFonts w:ascii="Calibri" w:cs="Calibri" w:eastAsia="Calibri" w:hAnsi="Calibri"/>
                                    <w:b w:val="1"/>
                                    <w:i w:val="1"/>
                                    <w:smallCaps w:val="0"/>
                                    <w:strike w:val="0"/>
                                    <w:color w:val="000000"/>
                                    <w:sz w:val="18"/>
                                    <w:vertAlign w:val="baseline"/>
                                  </w:rPr>
                                  <w:t xml:space="preserve">Figure 3</w:t>
                                </w:r>
                                <w:r w:rsidDel="00000000" w:rsidR="00000000" w:rsidRPr="00000000">
                                  <w:rPr>
                                    <w:rFonts w:ascii="Calibri" w:cs="Calibri" w:eastAsia="Calibri" w:hAnsi="Calibri"/>
                                    <w:b w:val="0"/>
                                    <w:i w:val="1"/>
                                    <w:smallCaps w:val="0"/>
                                    <w:strike w:val="0"/>
                                    <w:color w:val="000000"/>
                                    <w:sz w:val="18"/>
                                    <w:vertAlign w:val="baseline"/>
                                  </w:rPr>
                                  <w:t xml:space="preserve">: </w:t>
                                </w:r>
                                <w:r w:rsidDel="00000000" w:rsidR="00000000" w:rsidRPr="00000000">
                                  <w:rPr>
                                    <w:rFonts w:ascii="Calibri" w:cs="Calibri" w:eastAsia="Calibri" w:hAnsi="Calibri"/>
                                    <w:b w:val="1"/>
                                    <w:i w:val="1"/>
                                    <w:smallCaps w:val="0"/>
                                    <w:strike w:val="0"/>
                                    <w:color w:val="000000"/>
                                    <w:sz w:val="18"/>
                                    <w:vertAlign w:val="baseline"/>
                                  </w:rPr>
                                  <w:t xml:space="preserve">A.</w:t>
                                </w:r>
                                <w:r w:rsidDel="00000000" w:rsidR="00000000" w:rsidRPr="00000000">
                                  <w:rPr>
                                    <w:rFonts w:ascii="Calibri" w:cs="Calibri" w:eastAsia="Calibri" w:hAnsi="Calibri"/>
                                    <w:b w:val="0"/>
                                    <w:i w:val="1"/>
                                    <w:smallCaps w:val="0"/>
                                    <w:strike w:val="0"/>
                                    <w:color w:val="000000"/>
                                    <w:sz w:val="18"/>
                                    <w:vertAlign w:val="baseline"/>
                                  </w:rPr>
                                  <w:t xml:space="preserve"> Dimensionality reduction showing scRNA-seq data of in vitro diversified M2 macrophages from WT or Trem2 KO mice treated with aTrem2 or control antibodies. E3C7 completely reprogrammed M2 macrophages toward an M1 phenotype, showing a very similar maturation trajectory to that of TREM2-KO cells. Meanwhile, IgG isotype mAb induced a phenotype mimicking the phenotype induced by antibody 210, which served as a binder control. </w:t>
                                </w:r>
                                <w:r w:rsidDel="00000000" w:rsidR="00000000" w:rsidRPr="00000000">
                                  <w:rPr>
                                    <w:rFonts w:ascii="Calibri" w:cs="Calibri" w:eastAsia="Calibri" w:hAnsi="Calibri"/>
                                    <w:b w:val="1"/>
                                    <w:i w:val="1"/>
                                    <w:smallCaps w:val="0"/>
                                    <w:strike w:val="0"/>
                                    <w:color w:val="000000"/>
                                    <w:sz w:val="18"/>
                                    <w:vertAlign w:val="baseline"/>
                                  </w:rPr>
                                  <w:t xml:space="preserve">B.</w:t>
                                </w:r>
                                <w:r w:rsidDel="00000000" w:rsidR="00000000" w:rsidRPr="00000000">
                                  <w:rPr>
                                    <w:rFonts w:ascii="Calibri" w:cs="Calibri" w:eastAsia="Calibri" w:hAnsi="Calibri"/>
                                    <w:b w:val="0"/>
                                    <w:i w:val="1"/>
                                    <w:smallCaps w:val="0"/>
                                    <w:strike w:val="0"/>
                                    <w:color w:val="000000"/>
                                    <w:sz w:val="18"/>
                                    <w:vertAlign w:val="baseline"/>
                                  </w:rPr>
                                  <w:t xml:space="preserve"> Heatmap depicting differentially expressed genes between treatment groups highlighting that TREM2KO and aTREM2 treated macrophages cluster together through similar gene expression profiles. </w:t>
                                </w:r>
                                <w:r w:rsidDel="00000000" w:rsidR="00000000" w:rsidRPr="00000000">
                                  <w:rPr>
                                    <w:rFonts w:ascii="Calibri" w:cs="Calibri" w:eastAsia="Calibri" w:hAnsi="Calibri"/>
                                    <w:b w:val="1"/>
                                    <w:i w:val="1"/>
                                    <w:smallCaps w:val="0"/>
                                    <w:strike w:val="0"/>
                                    <w:color w:val="000000"/>
                                    <w:sz w:val="18"/>
                                    <w:vertAlign w:val="baseline"/>
                                  </w:rPr>
                                  <w:t xml:space="preserve">C.</w:t>
                                </w:r>
                                <w:r w:rsidDel="00000000" w:rsidR="00000000" w:rsidRPr="00000000">
                                  <w:rPr>
                                    <w:rFonts w:ascii="Calibri" w:cs="Calibri" w:eastAsia="Calibri" w:hAnsi="Calibri"/>
                                    <w:b w:val="0"/>
                                    <w:i w:val="1"/>
                                    <w:smallCaps w:val="0"/>
                                    <w:strike w:val="0"/>
                                    <w:color w:val="000000"/>
                                    <w:sz w:val="18"/>
                                    <w:vertAlign w:val="baseline"/>
                                  </w:rPr>
                                  <w:t xml:space="preserve"> Violin plots demonstrate the downregulation of important TAM/Mreg markers (e.g., Mmp12, Spp1, Folr2 andAnax1) and the up-regulation of type-I interferon signaling genes (Ifit1, Ifit2) and Siglec1 upon Trem-2 ablation. </w:t>
                                </w:r>
                                <w:r w:rsidDel="00000000" w:rsidR="00000000" w:rsidRPr="00000000">
                                  <w:rPr>
                                    <w:rFonts w:ascii="Calibri" w:cs="Calibri" w:eastAsia="Calibri" w:hAnsi="Calibri"/>
                                    <w:b w:val="1"/>
                                    <w:i w:val="1"/>
                                    <w:smallCaps w:val="0"/>
                                    <w:strike w:val="0"/>
                                    <w:color w:val="000000"/>
                                    <w:sz w:val="18"/>
                                    <w:vertAlign w:val="baseline"/>
                                  </w:rPr>
                                  <w:t xml:space="preserve">D.(left)</w:t>
                                </w:r>
                                <w:r w:rsidDel="00000000" w:rsidR="00000000" w:rsidRPr="00000000">
                                  <w:rPr>
                                    <w:rFonts w:ascii="Calibri" w:cs="Calibri" w:eastAsia="Calibri" w:hAnsi="Calibri"/>
                                    <w:b w:val="0"/>
                                    <w:i w:val="1"/>
                                    <w:smallCaps w:val="0"/>
                                    <w:strike w:val="0"/>
                                    <w:color w:val="000000"/>
                                    <w:sz w:val="18"/>
                                    <w:vertAlign w:val="baseline"/>
                                  </w:rPr>
                                  <w:t xml:space="preserve"> Metacell graph projection of myeloid cells consisting of 94 MCs representing 7,421 single cells sorted from glioma tumors of 3 IgG control mice and 3 aTREM2-treated mice with CD45+ gating. </w:t>
                                </w:r>
                                <w:r w:rsidDel="00000000" w:rsidR="00000000" w:rsidRPr="00000000">
                                  <w:rPr>
                                    <w:rFonts w:ascii="Calibri" w:cs="Calibri" w:eastAsia="Calibri" w:hAnsi="Calibri"/>
                                    <w:b w:val="1"/>
                                    <w:i w:val="1"/>
                                    <w:smallCaps w:val="0"/>
                                    <w:strike w:val="0"/>
                                    <w:color w:val="000000"/>
                                    <w:sz w:val="18"/>
                                    <w:vertAlign w:val="baseline"/>
                                  </w:rPr>
                                  <w:t xml:space="preserve">(right)</w:t>
                                </w:r>
                                <w:r w:rsidDel="00000000" w:rsidR="00000000" w:rsidRPr="00000000">
                                  <w:rPr>
                                    <w:rFonts w:ascii="Calibri" w:cs="Calibri" w:eastAsia="Calibri" w:hAnsi="Calibri"/>
                                    <w:b w:val="0"/>
                                    <w:i w:val="1"/>
                                    <w:smallCaps w:val="0"/>
                                    <w:strike w:val="0"/>
                                    <w:color w:val="000000"/>
                                    <w:sz w:val="18"/>
                                    <w:vertAlign w:val="baseline"/>
                                  </w:rPr>
                                  <w:t xml:space="preserve"> Projection of treatment enrichment by the number of cells of each condition within a metacell. The enrichment is log scaled where positive values indicate enrichment upon aTREM2 treatment, and negative values represent control enrichment. </w:t>
                                </w:r>
                                <w:r w:rsidDel="00000000" w:rsidR="00000000" w:rsidRPr="00000000">
                                  <w:rPr>
                                    <w:rFonts w:ascii="Calibri" w:cs="Calibri" w:eastAsia="Calibri" w:hAnsi="Calibri"/>
                                    <w:b w:val="1"/>
                                    <w:i w:val="1"/>
                                    <w:smallCaps w:val="0"/>
                                    <w:strike w:val="0"/>
                                    <w:color w:val="000000"/>
                                    <w:sz w:val="18"/>
                                    <w:vertAlign w:val="baseline"/>
                                  </w:rPr>
                                  <w:t xml:space="preserve">E.</w:t>
                                </w:r>
                                <w:r w:rsidDel="00000000" w:rsidR="00000000" w:rsidRPr="00000000">
                                  <w:rPr>
                                    <w:rFonts w:ascii="Calibri" w:cs="Calibri" w:eastAsia="Calibri" w:hAnsi="Calibri"/>
                                    <w:b w:val="0"/>
                                    <w:i w:val="1"/>
                                    <w:smallCaps w:val="0"/>
                                    <w:strike w:val="0"/>
                                    <w:color w:val="000000"/>
                                    <w:sz w:val="18"/>
                                    <w:vertAlign w:val="baseline"/>
                                  </w:rPr>
                                  <w:t xml:space="preserve"> Trajectory of the monocyte-to-TAM differentiation in the control axis based on continuous tumor exposure time (cTET ) values. Metacell graph projection of monocytes and TAMs from both IgG and aTREM2 axis, denoting the trajectory of the IgG(left)- or aTREM2(right)-treated monocyte-to-TAM differentiation based on cTET. </w:t>
                                </w:r>
                                <w:r w:rsidDel="00000000" w:rsidR="00000000" w:rsidRPr="00000000">
                                  <w:rPr>
                                    <w:rFonts w:ascii="Calibri" w:cs="Calibri" w:eastAsia="Calibri" w:hAnsi="Calibri"/>
                                    <w:b w:val="1"/>
                                    <w:i w:val="1"/>
                                    <w:smallCaps w:val="0"/>
                                    <w:strike w:val="0"/>
                                    <w:color w:val="000000"/>
                                    <w:sz w:val="18"/>
                                    <w:vertAlign w:val="baseline"/>
                                  </w:rPr>
                                  <w:t xml:space="preserve">F.</w:t>
                                </w:r>
                                <w:r w:rsidDel="00000000" w:rsidR="00000000" w:rsidRPr="00000000">
                                  <w:rPr>
                                    <w:rFonts w:ascii="Calibri" w:cs="Calibri" w:eastAsia="Calibri" w:hAnsi="Calibri"/>
                                    <w:b w:val="0"/>
                                    <w:i w:val="1"/>
                                    <w:smallCaps w:val="0"/>
                                    <w:strike w:val="0"/>
                                    <w:color w:val="000000"/>
                                    <w:sz w:val="18"/>
                                    <w:vertAlign w:val="baseline"/>
                                  </w:rPr>
                                  <w:t xml:space="preserve"> Heatmaps of significant genes along contineous tumor exposure time measured via Zman-Seq in the aTREM2-treated monocyte-to-TAM differentiation in GBM in vivo. G. Transgenic human TREM2 mice were inoculated with 1x106 MC38 cells and treated on indicated days with 200ug/dosage IgG Control or anti-TREM2 antibodies. Myeloid monotherapy shows low efficacy in eradicating tumor growth in vivo.</w:t>
                                </w:r>
                              </w:p>
                            </w:txbxContent>
                          </wps:txbx>
                          <wps:bodyPr anchorCtr="0" anchor="t" bIns="36000" lIns="36000" spcFirstLastPara="1" rIns="36000" wrap="square" tIns="36000">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914400</wp:posOffset>
                </wp:positionV>
                <wp:extent cx="6544310" cy="6700520"/>
                <wp:effectExtent b="0" l="0" r="0" t="0"/>
                <wp:wrapSquare wrapText="bothSides" distB="0" distT="0" distL="114300" distR="114300"/>
                <wp:docPr id="2135458716"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6544310" cy="6700520"/>
                        </a:xfrm>
                        <a:prstGeom prst="rect"/>
                        <a:ln/>
                      </pic:spPr>
                    </pic:pic>
                  </a:graphicData>
                </a:graphic>
              </wp:anchor>
            </w:drawing>
          </mc:Fallback>
        </mc:AlternateContent>
      </w:r>
    </w:p>
    <w:p w:rsidR="00000000" w:rsidDel="00000000" w:rsidP="00000000" w:rsidRDefault="00000000" w:rsidRPr="00000000" w14:paraId="00000004">
      <w:pPr>
        <w:jc w:val="both"/>
        <w:rPr/>
      </w:pPr>
      <w:bookmarkStart w:colFirst="0" w:colLast="0" w:name="_heading=h.3rdcrjn" w:id="1"/>
      <w:bookmarkEnd w:id="1"/>
      <w:r w:rsidDel="00000000" w:rsidR="00000000" w:rsidRPr="00000000">
        <w:rPr>
          <w:rtl w:val="0"/>
        </w:rPr>
        <w:t xml:space="preserve">In mice treated with the control antibody, Zman-seq revealed a well-defined temporal trajectory of</w:t>
      </w:r>
      <w:r w:rsidDel="00000000" w:rsidR="00000000" w:rsidRPr="00000000">
        <w:rPr>
          <w:i w:val="1"/>
          <w:rtl w:val="0"/>
        </w:rPr>
        <w:t xml:space="preserve"> </w:t>
      </w:r>
      <w:r w:rsidDel="00000000" w:rsidR="00000000" w:rsidRPr="00000000">
        <w:rPr>
          <w:rtl w:val="0"/>
        </w:rPr>
        <w:t xml:space="preserve">monocytes to immune suppressive TAMs: infiltrating Chil3</w:t>
      </w:r>
      <w:r w:rsidDel="00000000" w:rsidR="00000000" w:rsidRPr="00000000">
        <w:rPr>
          <w:vertAlign w:val="superscript"/>
          <w:rtl w:val="0"/>
        </w:rPr>
        <w:t xml:space="preserve">high</w:t>
      </w:r>
      <w:r w:rsidDel="00000000" w:rsidR="00000000" w:rsidRPr="00000000">
        <w:rPr>
          <w:rtl w:val="0"/>
        </w:rPr>
        <w:t xml:space="preserve">, Plac8</w:t>
      </w:r>
      <w:r w:rsidDel="00000000" w:rsidR="00000000" w:rsidRPr="00000000">
        <w:rPr>
          <w:vertAlign w:val="superscript"/>
          <w:rtl w:val="0"/>
        </w:rPr>
        <w:t xml:space="preserve">high</w:t>
      </w:r>
      <w:r w:rsidDel="00000000" w:rsidR="00000000" w:rsidRPr="00000000">
        <w:rPr>
          <w:rtl w:val="0"/>
        </w:rPr>
        <w:t xml:space="preserve"> monocytes harbored the earliest time stamps and gradually differentiated into Arg1</w:t>
      </w:r>
      <w:r w:rsidDel="00000000" w:rsidR="00000000" w:rsidRPr="00000000">
        <w:rPr>
          <w:vertAlign w:val="superscript"/>
          <w:rtl w:val="0"/>
        </w:rPr>
        <w:t xml:space="preserve">high</w:t>
      </w:r>
      <w:r w:rsidDel="00000000" w:rsidR="00000000" w:rsidRPr="00000000">
        <w:rPr>
          <w:rtl w:val="0"/>
        </w:rPr>
        <w:t xml:space="preserve">, Gpnmb</w:t>
      </w:r>
      <w:r w:rsidDel="00000000" w:rsidR="00000000" w:rsidRPr="00000000">
        <w:rPr>
          <w:vertAlign w:val="superscript"/>
          <w:rtl w:val="0"/>
        </w:rPr>
        <w:t xml:space="preserve">high </w:t>
      </w:r>
      <w:r w:rsidDel="00000000" w:rsidR="00000000" w:rsidRPr="00000000">
        <w:rPr>
          <w:rtl w:val="0"/>
        </w:rPr>
        <w:t xml:space="preserve">regulatory macrophage populations, described in the context of immunosuppressive myeloid cells in cancer</w:t>
      </w:r>
      <w:r w:rsidDel="00000000" w:rsidR="00000000" w:rsidRPr="00000000">
        <w:rPr>
          <w:i w:val="1"/>
          <w:rtl w:val="0"/>
        </w:rPr>
        <w:t xml:space="preserve">. </w:t>
      </w:r>
      <w:r w:rsidDel="00000000" w:rsidR="00000000" w:rsidRPr="00000000">
        <w:rPr>
          <w:rtl w:val="0"/>
        </w:rPr>
        <w:t xml:space="preserve">In contrast,</w:t>
      </w:r>
      <w:r w:rsidDel="00000000" w:rsidR="00000000" w:rsidRPr="00000000">
        <w:rPr>
          <w:i w:val="1"/>
          <w:rtl w:val="0"/>
        </w:rPr>
        <w:t xml:space="preserve"> </w:t>
      </w:r>
      <w:r w:rsidDel="00000000" w:rsidR="00000000" w:rsidRPr="00000000">
        <w:rPr>
          <w:rtl w:val="0"/>
        </w:rPr>
        <w:t xml:space="preserve">the</w:t>
      </w:r>
      <w:r w:rsidDel="00000000" w:rsidR="00000000" w:rsidRPr="00000000">
        <w:rPr>
          <w:i w:val="1"/>
          <w:rtl w:val="0"/>
        </w:rPr>
        <w:t xml:space="preserve"> </w:t>
      </w:r>
      <w:r w:rsidDel="00000000" w:rsidR="00000000" w:rsidRPr="00000000">
        <w:rPr>
          <w:rtl w:val="0"/>
        </w:rPr>
        <w:t xml:space="preserve">anti-TREM2 treatment resulted in a distinct TAM population characterized by downregulated immunosuppressive genes such as </w:t>
      </w:r>
      <w:r w:rsidDel="00000000" w:rsidR="00000000" w:rsidRPr="00000000">
        <w:rPr>
          <w:i w:val="1"/>
          <w:rtl w:val="0"/>
        </w:rPr>
        <w:t xml:space="preserve">Arg1, Pirb</w:t>
      </w:r>
      <w:r w:rsidDel="00000000" w:rsidR="00000000" w:rsidRPr="00000000">
        <w:rPr>
          <w:rtl w:val="0"/>
        </w:rPr>
        <w:t xml:space="preserve"> (LILRB3), </w:t>
      </w:r>
      <w:r w:rsidDel="00000000" w:rsidR="00000000" w:rsidRPr="00000000">
        <w:rPr>
          <w:i w:val="1"/>
          <w:rtl w:val="0"/>
        </w:rPr>
        <w:t xml:space="preserve">Il18bp, Vegfa,</w:t>
      </w:r>
      <w:r w:rsidDel="00000000" w:rsidR="00000000" w:rsidRPr="00000000">
        <w:rPr>
          <w:rtl w:val="0"/>
        </w:rPr>
        <w:t xml:space="preserve"> and </w:t>
      </w:r>
      <w:r w:rsidDel="00000000" w:rsidR="00000000" w:rsidRPr="00000000">
        <w:rPr>
          <w:i w:val="1"/>
          <w:rtl w:val="0"/>
        </w:rPr>
        <w:t xml:space="preserve">Cd274 </w:t>
      </w:r>
      <w:r w:rsidDel="00000000" w:rsidR="00000000" w:rsidRPr="00000000">
        <w:rPr>
          <w:rtl w:val="0"/>
        </w:rPr>
        <w:t xml:space="preserve">(PDL1) and upregulated pro-inflammatory genes (</w:t>
      </w:r>
      <w:r w:rsidDel="00000000" w:rsidR="00000000" w:rsidRPr="00000000">
        <w:rPr>
          <w:i w:val="1"/>
          <w:rtl w:val="0"/>
        </w:rPr>
        <w:t xml:space="preserve">Ccl3, Ccl4, Cd81</w:t>
      </w:r>
      <w:r w:rsidDel="00000000" w:rsidR="00000000" w:rsidRPr="00000000">
        <w:rPr>
          <w:rtl w:val="0"/>
        </w:rPr>
        <w:t xml:space="preserve">, and </w:t>
      </w:r>
      <w:r w:rsidDel="00000000" w:rsidR="00000000" w:rsidRPr="00000000">
        <w:rPr>
          <w:i w:val="1"/>
          <w:rtl w:val="0"/>
        </w:rPr>
        <w:t xml:space="preserve">Cd83</w:t>
      </w:r>
      <w:r w:rsidDel="00000000" w:rsidR="00000000" w:rsidRPr="00000000">
        <w:rPr>
          <w:rtl w:val="0"/>
        </w:rPr>
        <w:t xml:space="preserve">). Despite these strong molecular effects highlighting the TME-reprogramming potential of anti-TREM2 treatment, anti-TREM2 monotherapy treatment of mice with MC38 tumors showed limited success in blocking tumor growth (</w:t>
      </w:r>
      <w:r w:rsidDel="00000000" w:rsidR="00000000" w:rsidRPr="00000000">
        <w:rPr>
          <w:b w:val="1"/>
          <w:rtl w:val="0"/>
        </w:rPr>
        <w:t xml:space="preserve">Fig. 3G</w:t>
      </w:r>
      <w:r w:rsidDel="00000000" w:rsidR="00000000" w:rsidRPr="00000000">
        <w:rPr>
          <w:rtl w:val="0"/>
        </w:rPr>
        <w:t xml:space="preserve">). In sum, </w:t>
      </w:r>
      <w:r w:rsidDel="00000000" w:rsidR="00000000" w:rsidRPr="00000000">
        <w:rPr>
          <w:b w:val="1"/>
          <w:rtl w:val="0"/>
        </w:rPr>
        <w:t xml:space="preserve">our results demonstrate that TREM2-specific antagonist antibodies inhibit TREM2 function in myeloid cells and reprogram immunosuppressive macrophages toward pro-inflammatory monocyte-like cells</w:t>
      </w:r>
      <w:r w:rsidDel="00000000" w:rsidR="00000000" w:rsidRPr="00000000">
        <w:rPr>
          <w:rtl w:val="0"/>
        </w:rPr>
        <w:t xml:space="preserve">, in similar magnitude to genetic TREM2 depletion. Nonetheless, our results on anti-TREM2 checkpoints as well as the results of all other in the tumor macrophage checkpoint field indicate it is seemingly impossible for any myeloid-targeted single-agent approach to elicit robust effects on tumor eradication. Thus, the optimal strategy appears to be a combination of myeloid-targeted treatments with other modalities. </w:t>
      </w:r>
    </w:p>
    <w:p w:rsidR="00000000" w:rsidDel="00000000" w:rsidP="00000000" w:rsidRDefault="00000000" w:rsidRPr="00000000" w14:paraId="00000005">
      <w:pPr>
        <w:jc w:val="both"/>
        <w:rPr/>
      </w:pPr>
      <w:bookmarkStart w:colFirst="0" w:colLast="0" w:name="_heading=h.26in1rg" w:id="2"/>
      <w:bookmarkEnd w:id="2"/>
      <w:r w:rsidDel="00000000" w:rsidR="00000000" w:rsidRPr="00000000">
        <w:rPr>
          <w:b w:val="1"/>
          <w:i w:val="1"/>
          <w:color w:val="2f5496"/>
          <w:rtl w:val="0"/>
        </w:rPr>
        <w:t xml:space="preserve">Developing prototype anti-TREM2-cytokine fusion proteins and overcoming toxicity.</w:t>
      </w:r>
      <w:r w:rsidDel="00000000" w:rsidR="00000000" w:rsidRPr="00000000">
        <w:rPr>
          <w:rtl w:val="0"/>
        </w:rPr>
        <w:t xml:space="preserve"> </w:t>
      </w:r>
      <w:r w:rsidDel="00000000" w:rsidR="00000000" w:rsidRPr="00000000">
        <w:rPr>
          <w:b w:val="1"/>
          <w:i w:val="1"/>
          <w:color w:val="2f5496"/>
          <w:rtl w:val="0"/>
        </w:rPr>
        <w:t xml:space="preserve"> </w:t>
      </w:r>
      <w:r w:rsidDel="00000000" w:rsidR="00000000" w:rsidRPr="00000000">
        <w:rPr>
          <w:color w:val="000000"/>
          <w:rtl w:val="0"/>
        </w:rPr>
        <w:t xml:space="preserve">To systematically screen the effects of cytokines and identify the ones with the most potent activity </w:t>
      </w:r>
      <w:r w:rsidDel="00000000" w:rsidR="00000000" w:rsidRPr="00000000">
        <w:rPr>
          <w:i w:val="1"/>
          <w:color w:val="000000"/>
          <w:rtl w:val="0"/>
        </w:rPr>
        <w:t xml:space="preserve">in vivo</w:t>
      </w:r>
      <w:r w:rsidDel="00000000" w:rsidR="00000000" w:rsidRPr="00000000">
        <w:rPr>
          <w:color w:val="000000"/>
          <w:rtl w:val="0"/>
        </w:rPr>
        <w:t xml:space="preserve">, we generated murine tumor cell lines that over-express the most clinically relevant cytokines and modified cytokine variants with an inducible switch. The studied cytokines include IL-2 “superkin</w:t>
      </w:r>
      <w:r w:rsidDel="00000000" w:rsidR="00000000" w:rsidRPr="00000000">
        <w:rPr>
          <w:rtl w:val="0"/>
        </w:rPr>
        <w:t xml:space="preserve">e” (SK; human), IL-12, IL-15-IL-15Ra “sushi”, IL-18 decoy-resistant (“DR”), IL-21, and GM-CSF (Fig. 4A). The expression of the cytokines can be induced specifically in established tumors via intraperitoneal Doxycycline administration. In addition to the cytokines, the cell lines also incorporate a protein barcode (Pro-Code), which allows the spatial delineation of cytokine-mediated effects using immunofluorescence in combination with spatial transcriptomics (Fig. 4A). Of all the cytokines, IL2SK exhibited the most potent attributes, followed by IL-12, GM-CSF and IL-15sushi (Fig. 4B). As we envision our MiTEs will be equipped with individual or dual cytokines, we studied the efficacy of combinations of IL2SK—the most efficient individual cytokine—with other cytokines on tumor growth. These experiments revealed strong synergistic effects using cytokine combinations, especially when combining IL2SK and IL-12 (Fig. 4C).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381000</wp:posOffset>
                </wp:positionV>
                <wp:extent cx="6553200" cy="4761865"/>
                <wp:effectExtent b="0" l="0" r="0" t="0"/>
                <wp:wrapSquare wrapText="bothSides" distB="0" distT="0" distL="114300" distR="114300"/>
                <wp:docPr id="2135458718" name=""/>
                <a:graphic>
                  <a:graphicData uri="http://schemas.microsoft.com/office/word/2010/wordprocessingGroup">
                    <wpg:wgp>
                      <wpg:cNvGrpSpPr/>
                      <wpg:grpSpPr>
                        <a:xfrm>
                          <a:off x="2069400" y="1399050"/>
                          <a:ext cx="6553200" cy="4761865"/>
                          <a:chOff x="2069400" y="1399050"/>
                          <a:chExt cx="6553200" cy="4785750"/>
                        </a:xfrm>
                      </wpg:grpSpPr>
                      <wpg:grpSp>
                        <wpg:cNvGrpSpPr/>
                        <wpg:grpSpPr>
                          <a:xfrm>
                            <a:off x="2069400" y="1399068"/>
                            <a:ext cx="6553200" cy="4761865"/>
                            <a:chOff x="13574" y="0"/>
                            <a:chExt cx="6554121" cy="4762173"/>
                          </a:xfrm>
                        </wpg:grpSpPr>
                        <wps:wsp>
                          <wps:cNvSpPr/>
                          <wps:cNvPr id="3" name="Shape 3"/>
                          <wps:spPr>
                            <a:xfrm>
                              <a:off x="13574" y="0"/>
                              <a:ext cx="6554100" cy="4762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 name="Shape 10"/>
                          <wps:spPr>
                            <a:xfrm>
                              <a:off x="13574" y="3693815"/>
                              <a:ext cx="6554121" cy="1068358"/>
                            </a:xfrm>
                            <a:prstGeom prst="rect">
                              <a:avLst/>
                            </a:prstGeom>
                            <a:solidFill>
                              <a:schemeClr val="lt1"/>
                            </a:solidFill>
                            <a:ln>
                              <a:noFill/>
                            </a:ln>
                          </wps:spPr>
                          <wps:txbx>
                            <w:txbxContent>
                              <w:p w:rsidR="00000000" w:rsidDel="00000000" w:rsidP="00000000" w:rsidRDefault="00000000" w:rsidRPr="00000000">
                                <w:pPr>
                                  <w:spacing w:after="0" w:before="0" w:line="240"/>
                                  <w:ind w:left="0" w:right="0" w:firstLine="0"/>
                                  <w:jc w:val="both"/>
                                  <w:textDirection w:val="btLr"/>
                                </w:pPr>
                                <w:r w:rsidDel="00000000" w:rsidR="00000000" w:rsidRPr="00000000">
                                  <w:rPr>
                                    <w:rFonts w:ascii="Calibri" w:cs="Calibri" w:eastAsia="Calibri" w:hAnsi="Calibri"/>
                                    <w:b w:val="1"/>
                                    <w:i w:val="1"/>
                                    <w:smallCaps w:val="0"/>
                                    <w:strike w:val="0"/>
                                    <w:color w:val="000000"/>
                                    <w:sz w:val="18"/>
                                    <w:vertAlign w:val="baseline"/>
                                  </w:rPr>
                                  <w:t xml:space="preserve">Figure 4</w:t>
                                </w:r>
                                <w:r w:rsidDel="00000000" w:rsidR="00000000" w:rsidRPr="00000000">
                                  <w:rPr>
                                    <w:rFonts w:ascii="Calibri" w:cs="Calibri" w:eastAsia="Calibri" w:hAnsi="Calibri"/>
                                    <w:b w:val="0"/>
                                    <w:i w:val="1"/>
                                    <w:smallCaps w:val="0"/>
                                    <w:strike w:val="0"/>
                                    <w:color w:val="000000"/>
                                    <w:sz w:val="18"/>
                                    <w:vertAlign w:val="baseline"/>
                                  </w:rPr>
                                  <w:t xml:space="preserve">: </w:t>
                                </w:r>
                                <w:r w:rsidDel="00000000" w:rsidR="00000000" w:rsidRPr="00000000">
                                  <w:rPr>
                                    <w:rFonts w:ascii="Calibri" w:cs="Calibri" w:eastAsia="Calibri" w:hAnsi="Calibri"/>
                                    <w:b w:val="1"/>
                                    <w:i w:val="1"/>
                                    <w:smallCaps w:val="0"/>
                                    <w:strike w:val="0"/>
                                    <w:color w:val="000000"/>
                                    <w:sz w:val="18"/>
                                    <w:vertAlign w:val="baseline"/>
                                  </w:rPr>
                                  <w:t xml:space="preserve">A</w:t>
                                </w:r>
                                <w:r w:rsidDel="00000000" w:rsidR="00000000" w:rsidRPr="00000000">
                                  <w:rPr>
                                    <w:rFonts w:ascii="Calibri" w:cs="Calibri" w:eastAsia="Calibri" w:hAnsi="Calibri"/>
                                    <w:b w:val="0"/>
                                    <w:i w:val="1"/>
                                    <w:smallCaps w:val="0"/>
                                    <w:strike w:val="0"/>
                                    <w:color w:val="000000"/>
                                    <w:sz w:val="18"/>
                                    <w:vertAlign w:val="baseline"/>
                                  </w:rPr>
                                  <w:t xml:space="preserve">. Overview of our in vivo cytokine screening platform. Tumor cells are genetically modified to over-express cytokines and individual spatial protein barcodes (Pro-Codes) with an inducible switch. 1M of tumor cells expressing (B) one cytokine or (C) combination of 2 times 500,000 cells from two cell lines were s.c. injected into murine hosts, and tumor-cell specific cytokine release was induced via i.p administration of Doxycycline (or PBS as control) in established tumors at day 12 post injection. </w:t>
                                </w:r>
                                <w:r w:rsidDel="00000000" w:rsidR="00000000" w:rsidRPr="00000000">
                                  <w:rPr>
                                    <w:rFonts w:ascii="Calibri" w:cs="Calibri" w:eastAsia="Calibri" w:hAnsi="Calibri"/>
                                    <w:b w:val="1"/>
                                    <w:i w:val="1"/>
                                    <w:smallCaps w:val="0"/>
                                    <w:strike w:val="0"/>
                                    <w:color w:val="000000"/>
                                    <w:sz w:val="18"/>
                                    <w:vertAlign w:val="baseline"/>
                                  </w:rPr>
                                  <w:t xml:space="preserve">B</w:t>
                                </w:r>
                                <w:r w:rsidDel="00000000" w:rsidR="00000000" w:rsidRPr="00000000">
                                  <w:rPr>
                                    <w:rFonts w:ascii="Calibri" w:cs="Calibri" w:eastAsia="Calibri" w:hAnsi="Calibri"/>
                                    <w:b w:val="0"/>
                                    <w:i w:val="1"/>
                                    <w:smallCaps w:val="0"/>
                                    <w:strike w:val="0"/>
                                    <w:color w:val="000000"/>
                                    <w:sz w:val="18"/>
                                    <w:vertAlign w:val="baseline"/>
                                  </w:rPr>
                                  <w:t xml:space="preserve">. Normalized tumor growth curves (mean PBS control groups = 1) and boxplot of tumor volume 1 week post cytokine induction in comparison to empty vector (EV) control tumors not releasing cytokines, demonstrating the potent effect of IL2SK on tumor growth. </w:t>
                                </w:r>
                                <w:r w:rsidDel="00000000" w:rsidR="00000000" w:rsidRPr="00000000">
                                  <w:rPr>
                                    <w:rFonts w:ascii="Calibri" w:cs="Calibri" w:eastAsia="Calibri" w:hAnsi="Calibri"/>
                                    <w:b w:val="1"/>
                                    <w:i w:val="1"/>
                                    <w:smallCaps w:val="0"/>
                                    <w:strike w:val="0"/>
                                    <w:color w:val="000000"/>
                                    <w:sz w:val="18"/>
                                    <w:vertAlign w:val="baseline"/>
                                  </w:rPr>
                                  <w:t xml:space="preserve">C</w:t>
                                </w:r>
                                <w:r w:rsidDel="00000000" w:rsidR="00000000" w:rsidRPr="00000000">
                                  <w:rPr>
                                    <w:rFonts w:ascii="Calibri" w:cs="Calibri" w:eastAsia="Calibri" w:hAnsi="Calibri"/>
                                    <w:b w:val="0"/>
                                    <w:i w:val="1"/>
                                    <w:smallCaps w:val="0"/>
                                    <w:strike w:val="0"/>
                                    <w:color w:val="000000"/>
                                    <w:sz w:val="18"/>
                                    <w:vertAlign w:val="baseline"/>
                                  </w:rPr>
                                  <w:t xml:space="preserve">. Induction of cytokine release in tumors from 1:1 mixtures of IL2SK and another cytokine cell lines reveals cytokine synergies. IL2SK is highly potent, with only the IL-12&amp;IL2SK combination exhibiting stronger effects.</w:t>
                                </w:r>
                              </w:p>
                            </w:txbxContent>
                          </wps:txbx>
                          <wps:bodyPr anchorCtr="0" anchor="t" bIns="36000" lIns="36000" spcFirstLastPara="1" rIns="36000" wrap="square" tIns="36000">
                            <a:noAutofit/>
                          </wps:bodyPr>
                        </wps:wsp>
                        <wps:wsp>
                          <wps:cNvSpPr/>
                          <wps:cNvPr id="11" name="Shape 11"/>
                          <wps:spPr>
                            <a:xfrm>
                              <a:off x="72428" y="0"/>
                              <a:ext cx="6478270" cy="3776345"/>
                            </a:xfrm>
                            <a:prstGeom prst="rect">
                              <a:avLst/>
                            </a:prstGeom>
                            <a:solidFill>
                              <a:srgbClr val="FFFFFF"/>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381000</wp:posOffset>
                </wp:positionV>
                <wp:extent cx="6553200" cy="4761865"/>
                <wp:effectExtent b="0" l="0" r="0" t="0"/>
                <wp:wrapSquare wrapText="bothSides" distB="0" distT="0" distL="114300" distR="114300"/>
                <wp:docPr id="2135458718"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6553200" cy="4761865"/>
                        </a:xfrm>
                        <a:prstGeom prst="rect"/>
                        <a:ln/>
                      </pic:spPr>
                    </pic:pic>
                  </a:graphicData>
                </a:graphic>
              </wp:anchor>
            </w:drawing>
          </mc:Fallback>
        </mc:AlternateContent>
      </w:r>
    </w:p>
    <w:p w:rsidR="00000000" w:rsidDel="00000000" w:rsidP="00000000" w:rsidRDefault="00000000" w:rsidRPr="00000000" w14:paraId="00000006">
      <w:pPr>
        <w:jc w:val="both"/>
        <w:rPr/>
      </w:pPr>
      <w:bookmarkStart w:colFirst="0" w:colLast="0" w:name="_heading=h.lnxbz9" w:id="3"/>
      <w:bookmarkEnd w:id="3"/>
      <w:r w:rsidDel="00000000" w:rsidR="00000000" w:rsidRPr="00000000">
        <w:rPr>
          <w:rtl w:val="0"/>
        </w:rPr>
        <w:t xml:space="preserve">To test the feasibility of producing TREM2 immunocytokines and due to the extremely potent properties of IL2SK, we developed a preliminary model molecule: an anti-TREM2-IL2SK fusion protein. Our initial </w:t>
      </w:r>
      <w:r w:rsidDel="00000000" w:rsidR="00000000" w:rsidRPr="00000000">
        <w:rPr>
          <w:i w:val="1"/>
          <w:rtl w:val="0"/>
        </w:rPr>
        <w:t xml:space="preserve">in vitro</w:t>
      </w:r>
      <w:r w:rsidDel="00000000" w:rsidR="00000000" w:rsidRPr="00000000">
        <w:rPr>
          <w:rtl w:val="0"/>
        </w:rPr>
        <w:t xml:space="preserve"> experiments showed anti-TREM2-IL2SK’s dramatic potential to stimulate immune system, but when applied </w:t>
      </w:r>
      <w:r w:rsidDel="00000000" w:rsidR="00000000" w:rsidRPr="00000000">
        <w:rPr>
          <w:i w:val="1"/>
          <w:rtl w:val="0"/>
        </w:rPr>
        <w:t xml:space="preserve">in vivo</w:t>
      </w:r>
      <w:r w:rsidDel="00000000" w:rsidR="00000000" w:rsidRPr="00000000">
        <w:rPr>
          <w:rtl w:val="0"/>
        </w:rPr>
        <w:t xml:space="preserve">, mice experienced dramatic systemic toxicity, elevating cytokine levels in the serum and leading to death (n=7/group) (Fig. 5A-B). We therefore devised a strategy for engineered cytokines that are solely active around tumor macrophages (Fig. 5C). Through single-cell multiomics and machine learning analysis of macrophages in different tissues and tumors (Fig. 5D) and bulk RNA-analysis of healthy and tumor tissues across 14 different human cancer types from TCGA and GTEX (n&gt;10,000 patients) (Fig. 5E), we were able to identify a TAM-specific protease that is highly correlated with TREM2 expression and both are highly enriched in tumors as compared to any healthy tissue. Given this data-driven insight, we designed novel PoC MiTE molecules with tumor-conditioned activity using a blocking moiety that is cleaved via a TAM-specific protease, resulting in cytokines that are active </w:t>
      </w:r>
      <w:r w:rsidDel="00000000" w:rsidR="00000000" w:rsidRPr="00000000">
        <w:rPr>
          <w:u w:val="single"/>
          <w:rtl w:val="0"/>
        </w:rPr>
        <w:t xml:space="preserve">solely within the TME</w:t>
      </w:r>
      <w:r w:rsidDel="00000000" w:rsidR="00000000" w:rsidRPr="00000000">
        <w:rPr>
          <w:rtl w:val="0"/>
        </w:rPr>
        <w:t xml:space="preserve"> (Fig. 5F). Importantly, </w:t>
      </w:r>
      <w:r w:rsidDel="00000000" w:rsidR="00000000" w:rsidRPr="00000000">
        <w:rPr>
          <w:i w:val="1"/>
          <w:rtl w:val="0"/>
        </w:rPr>
        <w:t xml:space="preserve">in vivo</w:t>
      </w:r>
      <w:r w:rsidDel="00000000" w:rsidR="00000000" w:rsidRPr="00000000">
        <w:rPr>
          <w:rtl w:val="0"/>
        </w:rPr>
        <w:t xml:space="preserve"> administration of four of our leading candidates resulted in no observable toxicity of any type even in extremely high and repetitive doses, including no observed effects on body weight loss (Fig. 5G) nor observed elevated serum cytokine levels, known to be responsible for toxicities in cytokine-based therapies (Fig. 5H). These results demonstrate the huge potential of a full data-driven campaign for screening and identifying optimal cytokines and proteases followed by AI-based protein engineering of effective MiTE chimeric molecules—focusing on </w:t>
      </w:r>
      <w:r w:rsidDel="00000000" w:rsidR="00000000" w:rsidRPr="00000000">
        <w:rPr>
          <w:i w:val="1"/>
          <w:rtl w:val="0"/>
        </w:rPr>
        <w:t xml:space="preserve">trans</w:t>
      </w:r>
      <w:r w:rsidDel="00000000" w:rsidR="00000000" w:rsidRPr="00000000">
        <w:rPr>
          <w:rtl w:val="0"/>
        </w:rPr>
        <w:t xml:space="preserve">-designed activation. Our results also show that our data-driven design approach can circumvent crucial problems which have so far limited the success of cytokine-therapies.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-114299</wp:posOffset>
                </wp:positionH>
                <wp:positionV relativeFrom="paragraph">
                  <wp:posOffset>2768600</wp:posOffset>
                </wp:positionV>
                <wp:extent cx="6815667" cy="6005830"/>
                <wp:effectExtent b="0" l="0" r="0" t="0"/>
                <wp:wrapSquare wrapText="bothSides" distB="0" distT="0" distL="114300" distR="114300"/>
                <wp:docPr id="2135458720" name=""/>
                <a:graphic>
                  <a:graphicData uri="http://schemas.microsoft.com/office/word/2010/wordprocessingGroup">
                    <wpg:wgp>
                      <wpg:cNvGrpSpPr/>
                      <wpg:grpSpPr>
                        <a:xfrm>
                          <a:off x="1938150" y="777075"/>
                          <a:ext cx="6815667" cy="6005830"/>
                          <a:chOff x="1938150" y="777075"/>
                          <a:chExt cx="6815700" cy="6005850"/>
                        </a:xfrm>
                      </wpg:grpSpPr>
                      <wpg:grpSp>
                        <wpg:cNvGrpSpPr/>
                        <wpg:grpSpPr>
                          <a:xfrm>
                            <a:off x="1938167" y="777085"/>
                            <a:ext cx="6815667" cy="6005830"/>
                            <a:chOff x="-84667" y="0"/>
                            <a:chExt cx="6815667" cy="6005840"/>
                          </a:xfrm>
                        </wpg:grpSpPr>
                        <wps:wsp>
                          <wps:cNvSpPr/>
                          <wps:cNvPr id="3" name="Shape 3"/>
                          <wps:spPr>
                            <a:xfrm>
                              <a:off x="-84667" y="0"/>
                              <a:ext cx="6815650" cy="60058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6" name="Shape 16"/>
                          <wps:spPr>
                            <a:xfrm>
                              <a:off x="-84667" y="4911819"/>
                              <a:ext cx="6815667" cy="1094021"/>
                            </a:xfrm>
                            <a:prstGeom prst="rect">
                              <a:avLst/>
                            </a:prstGeom>
                            <a:solidFill>
                              <a:schemeClr val="lt1"/>
                            </a:solidFill>
                            <a:ln>
                              <a:noFill/>
                            </a:ln>
                          </wps:spPr>
                          <wps:txbx>
                            <w:txbxContent>
                              <w:p w:rsidR="00000000" w:rsidDel="00000000" w:rsidP="00000000" w:rsidRDefault="00000000" w:rsidRPr="00000000">
                                <w:pPr>
                                  <w:spacing w:after="0" w:before="0" w:line="240"/>
                                  <w:ind w:left="0" w:right="0" w:firstLine="0"/>
                                  <w:jc w:val="both"/>
                                  <w:textDirection w:val="btLr"/>
                                </w:pPr>
                                <w:r w:rsidDel="00000000" w:rsidR="00000000" w:rsidRPr="00000000">
                                  <w:rPr>
                                    <w:rFonts w:ascii="Calibri" w:cs="Calibri" w:eastAsia="Calibri" w:hAnsi="Calibri"/>
                                    <w:b w:val="1"/>
                                    <w:i w:val="1"/>
                                    <w:smallCaps w:val="0"/>
                                    <w:strike w:val="0"/>
                                    <w:color w:val="000000"/>
                                    <w:sz w:val="18"/>
                                    <w:vertAlign w:val="baseline"/>
                                  </w:rPr>
                                  <w:t xml:space="preserve">Figure 5</w:t>
                                </w:r>
                                <w:r w:rsidDel="00000000" w:rsidR="00000000" w:rsidRPr="00000000">
                                  <w:rPr>
                                    <w:rFonts w:ascii="Calibri" w:cs="Calibri" w:eastAsia="Calibri" w:hAnsi="Calibri"/>
                                    <w:b w:val="0"/>
                                    <w:i w:val="1"/>
                                    <w:smallCaps w:val="0"/>
                                    <w:strike w:val="0"/>
                                    <w:color w:val="000000"/>
                                    <w:sz w:val="18"/>
                                    <w:vertAlign w:val="baseline"/>
                                  </w:rPr>
                                  <w:t xml:space="preserve">: </w:t>
                                </w:r>
                                <w:r w:rsidDel="00000000" w:rsidR="00000000" w:rsidRPr="00000000">
                                  <w:rPr>
                                    <w:rFonts w:ascii="Calibri" w:cs="Calibri" w:eastAsia="Calibri" w:hAnsi="Calibri"/>
                                    <w:b w:val="1"/>
                                    <w:i w:val="1"/>
                                    <w:smallCaps w:val="0"/>
                                    <w:strike w:val="0"/>
                                    <w:color w:val="000000"/>
                                    <w:sz w:val="18"/>
                                    <w:vertAlign w:val="baseline"/>
                                  </w:rPr>
                                  <w:t xml:space="preserve">A. </w:t>
                                </w:r>
                                <w:r w:rsidDel="00000000" w:rsidR="00000000" w:rsidRPr="00000000">
                                  <w:rPr>
                                    <w:rFonts w:ascii="Calibri" w:cs="Calibri" w:eastAsia="Calibri" w:hAnsi="Calibri"/>
                                    <w:b w:val="0"/>
                                    <w:i w:val="1"/>
                                    <w:smallCaps w:val="0"/>
                                    <w:strike w:val="0"/>
                                    <w:color w:val="000000"/>
                                    <w:sz w:val="18"/>
                                    <w:vertAlign w:val="baseline"/>
                                  </w:rPr>
                                  <w:t xml:space="preserve">Mice intravenously treated with two dosages (100ug/dosage) of aTREM2-IL2SK or aRSV-IL2SK experience dramatic systemic toxicity. </w:t>
                                </w:r>
                                <w:r w:rsidDel="00000000" w:rsidR="00000000" w:rsidRPr="00000000">
                                  <w:rPr>
                                    <w:rFonts w:ascii="Calibri" w:cs="Calibri" w:eastAsia="Calibri" w:hAnsi="Calibri"/>
                                    <w:b w:val="1"/>
                                    <w:i w:val="1"/>
                                    <w:smallCaps w:val="0"/>
                                    <w:strike w:val="0"/>
                                    <w:color w:val="000000"/>
                                    <w:sz w:val="18"/>
                                    <w:vertAlign w:val="baseline"/>
                                  </w:rPr>
                                  <w:t xml:space="preserve">B.</w:t>
                                </w:r>
                                <w:r w:rsidDel="00000000" w:rsidR="00000000" w:rsidRPr="00000000">
                                  <w:rPr>
                                    <w:rFonts w:ascii="Calibri" w:cs="Calibri" w:eastAsia="Calibri" w:hAnsi="Calibri"/>
                                    <w:b w:val="0"/>
                                    <w:i w:val="1"/>
                                    <w:smallCaps w:val="0"/>
                                    <w:strike w:val="0"/>
                                    <w:color w:val="000000"/>
                                    <w:sz w:val="18"/>
                                    <w:vertAlign w:val="baseline"/>
                                  </w:rPr>
                                  <w:t xml:space="preserve"> Elevation of cytokines in serum 24h after intravenous treatment, measured by ELISA. </w:t>
                                </w:r>
                                <w:r w:rsidDel="00000000" w:rsidR="00000000" w:rsidRPr="00000000">
                                  <w:rPr>
                                    <w:rFonts w:ascii="Calibri" w:cs="Calibri" w:eastAsia="Calibri" w:hAnsi="Calibri"/>
                                    <w:b w:val="1"/>
                                    <w:i w:val="1"/>
                                    <w:smallCaps w:val="0"/>
                                    <w:strike w:val="0"/>
                                    <w:color w:val="000000"/>
                                    <w:sz w:val="18"/>
                                    <w:vertAlign w:val="baseline"/>
                                  </w:rPr>
                                  <w:t xml:space="preserve">C.</w:t>
                                </w:r>
                                <w:r w:rsidDel="00000000" w:rsidR="00000000" w:rsidRPr="00000000">
                                  <w:rPr>
                                    <w:rFonts w:ascii="Calibri" w:cs="Calibri" w:eastAsia="Calibri" w:hAnsi="Calibri"/>
                                    <w:b w:val="0"/>
                                    <w:i w:val="1"/>
                                    <w:smallCaps w:val="0"/>
                                    <w:strike w:val="0"/>
                                    <w:color w:val="000000"/>
                                    <w:sz w:val="18"/>
                                    <w:vertAlign w:val="baseline"/>
                                  </w:rPr>
                                  <w:t xml:space="preserve"> Concept of cytokine which is solely active in the TME. </w:t>
                                </w:r>
                                <w:r w:rsidDel="00000000" w:rsidR="00000000" w:rsidRPr="00000000">
                                  <w:rPr>
                                    <w:rFonts w:ascii="Calibri" w:cs="Calibri" w:eastAsia="Calibri" w:hAnsi="Calibri"/>
                                    <w:b w:val="1"/>
                                    <w:i w:val="1"/>
                                    <w:smallCaps w:val="0"/>
                                    <w:strike w:val="0"/>
                                    <w:color w:val="000000"/>
                                    <w:sz w:val="18"/>
                                    <w:vertAlign w:val="baseline"/>
                                  </w:rPr>
                                  <w:t xml:space="preserve">D.</w:t>
                                </w:r>
                                <w:r w:rsidDel="00000000" w:rsidR="00000000" w:rsidRPr="00000000">
                                  <w:rPr>
                                    <w:rFonts w:ascii="Calibri" w:cs="Calibri" w:eastAsia="Calibri" w:hAnsi="Calibri"/>
                                    <w:b w:val="0"/>
                                    <w:i w:val="1"/>
                                    <w:smallCaps w:val="0"/>
                                    <w:strike w:val="0"/>
                                    <w:color w:val="000000"/>
                                    <w:sz w:val="18"/>
                                    <w:vertAlign w:val="baseline"/>
                                  </w:rPr>
                                  <w:t xml:space="preserve"> Dotplot depicting the expression of TAM-specific proteases in macrophages isolated from the peritoneum, spleen and tumor using scRNA-sequencing (n=5). </w:t>
                                </w:r>
                                <w:r w:rsidDel="00000000" w:rsidR="00000000" w:rsidRPr="00000000">
                                  <w:rPr>
                                    <w:rFonts w:ascii="Calibri" w:cs="Calibri" w:eastAsia="Calibri" w:hAnsi="Calibri"/>
                                    <w:b w:val="1"/>
                                    <w:i w:val="1"/>
                                    <w:smallCaps w:val="0"/>
                                    <w:strike w:val="0"/>
                                    <w:color w:val="000000"/>
                                    <w:sz w:val="18"/>
                                    <w:vertAlign w:val="baseline"/>
                                  </w:rPr>
                                  <w:t xml:space="preserve">E.</w:t>
                                </w:r>
                                <w:r w:rsidDel="00000000" w:rsidR="00000000" w:rsidRPr="00000000">
                                  <w:rPr>
                                    <w:rFonts w:ascii="Calibri" w:cs="Calibri" w:eastAsia="Calibri" w:hAnsi="Calibri"/>
                                    <w:b w:val="0"/>
                                    <w:i w:val="1"/>
                                    <w:smallCaps w:val="0"/>
                                    <w:strike w:val="0"/>
                                    <w:color w:val="000000"/>
                                    <w:sz w:val="18"/>
                                    <w:vertAlign w:val="baseline"/>
                                  </w:rPr>
                                  <w:t xml:space="preserve"> Bulk RNA-analysis of healthy (blue) versus tumor (red) tissues across 14 different human cancer types from TCGA and GTEX (n&gt;10K patients) demonstrating that our TAM-specific protease 3 clusters and TREM2 are highly expressed in malignant tumors, but not healthy control tissue. </w:t>
                                </w:r>
                                <w:r w:rsidDel="00000000" w:rsidR="00000000" w:rsidRPr="00000000">
                                  <w:rPr>
                                    <w:rFonts w:ascii="Calibri" w:cs="Calibri" w:eastAsia="Calibri" w:hAnsi="Calibri"/>
                                    <w:b w:val="1"/>
                                    <w:i w:val="1"/>
                                    <w:smallCaps w:val="0"/>
                                    <w:strike w:val="0"/>
                                    <w:color w:val="000000"/>
                                    <w:sz w:val="18"/>
                                    <w:vertAlign w:val="baseline"/>
                                  </w:rPr>
                                  <w:t xml:space="preserve">F.</w:t>
                                </w:r>
                                <w:r w:rsidDel="00000000" w:rsidR="00000000" w:rsidRPr="00000000">
                                  <w:rPr>
                                    <w:rFonts w:ascii="Calibri" w:cs="Calibri" w:eastAsia="Calibri" w:hAnsi="Calibri"/>
                                    <w:b w:val="0"/>
                                    <w:i w:val="1"/>
                                    <w:smallCaps w:val="0"/>
                                    <w:strike w:val="0"/>
                                    <w:color w:val="000000"/>
                                    <w:sz w:val="18"/>
                                    <w:vertAlign w:val="baseline"/>
                                  </w:rPr>
                                  <w:t xml:space="preserve"> Examples of data-driven design of MiTE molecules. </w:t>
                                </w:r>
                                <w:r w:rsidDel="00000000" w:rsidR="00000000" w:rsidRPr="00000000">
                                  <w:rPr>
                                    <w:rFonts w:ascii="Calibri" w:cs="Calibri" w:eastAsia="Calibri" w:hAnsi="Calibri"/>
                                    <w:b w:val="1"/>
                                    <w:i w:val="1"/>
                                    <w:smallCaps w:val="0"/>
                                    <w:strike w:val="0"/>
                                    <w:color w:val="000000"/>
                                    <w:sz w:val="18"/>
                                    <w:vertAlign w:val="baseline"/>
                                  </w:rPr>
                                  <w:t xml:space="preserve">G.</w:t>
                                </w:r>
                                <w:r w:rsidDel="00000000" w:rsidR="00000000" w:rsidRPr="00000000">
                                  <w:rPr>
                                    <w:rFonts w:ascii="Calibri" w:cs="Calibri" w:eastAsia="Calibri" w:hAnsi="Calibri"/>
                                    <w:b w:val="0"/>
                                    <w:i w:val="1"/>
                                    <w:smallCaps w:val="0"/>
                                    <w:strike w:val="0"/>
                                    <w:color w:val="000000"/>
                                    <w:sz w:val="18"/>
                                    <w:vertAlign w:val="baseline"/>
                                  </w:rPr>
                                  <w:t xml:space="preserve"> Plot depicting body weight loss </w:t>
                                </w:r>
                                <w:r w:rsidDel="00000000" w:rsidR="00000000" w:rsidRPr="00000000">
                                  <w:rPr>
                                    <w:rFonts w:ascii="Calibri" w:cs="Calibri" w:eastAsia="Calibri" w:hAnsi="Calibri"/>
                                    <w:b w:val="1"/>
                                    <w:i w:val="1"/>
                                    <w:smallCaps w:val="0"/>
                                    <w:strike w:val="0"/>
                                    <w:color w:val="000000"/>
                                    <w:sz w:val="18"/>
                                    <w:vertAlign w:val="baseline"/>
                                  </w:rPr>
                                  <w:t xml:space="preserve">H.</w:t>
                                </w:r>
                                <w:r w:rsidDel="00000000" w:rsidR="00000000" w:rsidRPr="00000000">
                                  <w:rPr>
                                    <w:rFonts w:ascii="Calibri" w:cs="Calibri" w:eastAsia="Calibri" w:hAnsi="Calibri"/>
                                    <w:b w:val="0"/>
                                    <w:i w:val="1"/>
                                    <w:smallCaps w:val="0"/>
                                    <w:strike w:val="0"/>
                                    <w:color w:val="000000"/>
                                    <w:sz w:val="18"/>
                                    <w:vertAlign w:val="baseline"/>
                                  </w:rPr>
                                  <w:t xml:space="preserve"> and IFNg level assessed by ELISA in the serum of mice intravenously treated with MiTE after 24h show safety and absence of toxicity of MiTE molecules.</w:t>
                                </w:r>
                              </w:p>
                            </w:txbxContent>
                          </wps:txbx>
                          <wps:bodyPr anchorCtr="0" anchor="t" bIns="45700" lIns="91425" spcFirstLastPara="1" rIns="91425" wrap="square" tIns="45700">
                            <a:noAutofit/>
                          </wps:bodyPr>
                        </wps:wsp>
                        <wps:wsp>
                          <wps:cNvSpPr/>
                          <wps:cNvPr id="17" name="Shape 17"/>
                          <wps:spPr>
                            <a:xfrm>
                              <a:off x="0" y="0"/>
                              <a:ext cx="6478270" cy="5130165"/>
                            </a:xfrm>
                            <a:prstGeom prst="rect">
                              <a:avLst/>
                            </a:prstGeom>
                            <a:solidFill>
                              <a:srgbClr val="FFFFFF"/>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-114299</wp:posOffset>
                </wp:positionH>
                <wp:positionV relativeFrom="paragraph">
                  <wp:posOffset>2768600</wp:posOffset>
                </wp:positionV>
                <wp:extent cx="6815667" cy="6005830"/>
                <wp:effectExtent b="0" l="0" r="0" t="0"/>
                <wp:wrapSquare wrapText="bothSides" distB="0" distT="0" distL="114300" distR="114300"/>
                <wp:docPr id="2135458720" name="image5.png"/>
                <a:graphic>
                  <a:graphicData uri="http://schemas.openxmlformats.org/drawingml/2006/picture">
                    <pic:pic>
                      <pic:nvPicPr>
                        <pic:cNvPr id="0" name="image5.png"/>
                        <pic:cNvPicPr preferRelativeResize="0"/>
                      </pic:nvPicPr>
                      <pic:blipFill>
                        <a:blip r:embed="rId9"/>
                        <a:srcRect/>
                        <a:stretch>
                          <a:fillRect/>
                        </a:stretch>
                      </pic:blipFill>
                      <pic:spPr>
                        <a:xfrm>
                          <a:off x="0" y="0"/>
                          <a:ext cx="6815667" cy="6005830"/>
                        </a:xfrm>
                        <a:prstGeom prst="rect"/>
                        <a:ln/>
                      </pic:spPr>
                    </pic:pic>
                  </a:graphicData>
                </a:graphic>
              </wp:anchor>
            </w:drawing>
          </mc:Fallback>
        </mc:AlternateContent>
      </w:r>
    </w:p>
    <w:p w:rsidR="00000000" w:rsidDel="00000000" w:rsidP="00000000" w:rsidRDefault="00000000" w:rsidRPr="00000000" w14:paraId="00000007">
      <w:pPr>
        <w:jc w:val="both"/>
        <w:rPr>
          <w:color w:val="000000"/>
        </w:rPr>
      </w:pPr>
      <w:r w:rsidDel="00000000" w:rsidR="00000000" w:rsidRPr="00000000">
        <w:rPr>
          <w:b w:val="1"/>
          <w:i w:val="1"/>
          <w:color w:val="4472c4"/>
          <w:rtl w:val="0"/>
        </w:rPr>
        <w:t xml:space="preserve">Validation of TME-conditionally-activated cytokines in vitro.</w:t>
      </w:r>
      <w:r w:rsidDel="00000000" w:rsidR="00000000" w:rsidRPr="00000000">
        <w:rPr>
          <w:color w:val="4472c4"/>
          <w:rtl w:val="0"/>
        </w:rPr>
        <w:t xml:space="preserve"> </w:t>
      </w:r>
      <w:r w:rsidDel="00000000" w:rsidR="00000000" w:rsidRPr="00000000">
        <w:rPr>
          <w:rtl w:val="0"/>
        </w:rPr>
        <w:t xml:space="preserve">Next, we tested different designs </w:t>
      </w:r>
      <w:r w:rsidDel="00000000" w:rsidR="00000000" w:rsidRPr="00000000">
        <w:rPr>
          <w:i w:val="1"/>
          <w:rtl w:val="0"/>
        </w:rPr>
        <w:t xml:space="preserve">in vitro</w:t>
      </w:r>
      <w:r w:rsidDel="00000000" w:rsidR="00000000" w:rsidRPr="00000000">
        <w:rPr>
          <w:rtl w:val="0"/>
        </w:rPr>
        <w:t xml:space="preserve"> using HEK Blue CD122/CD132 reporter cells</w:t>
      </w:r>
      <w:r w:rsidDel="00000000" w:rsidR="00000000" w:rsidRPr="00000000">
        <w:rPr>
          <w:b w:val="1"/>
          <w:rtl w:val="0"/>
        </w:rPr>
        <w:t xml:space="preserve"> </w:t>
      </w:r>
      <w:r w:rsidDel="00000000" w:rsidR="00000000" w:rsidRPr="00000000">
        <w:rPr>
          <w:rtl w:val="0"/>
        </w:rPr>
        <w:t xml:space="preserve">and observed a 3-log reduction in IL-2 activity with several of our leading blocking moieties. After digestion with our recombinant human TAM-specific protease, we detected IL-2 bioactivity levels identical to our control activation condition anti-TREM2-IL2SK (Fig. 6A). To validate these findings, we investigated if our molecules can stimulate human T cells only upon cleavage of the blocking moiety and are inert without the TAM protease activity, by measuring cell proliferation via Flow Cytometry. Without pre-treatment with TAM-specific proteases, we observed low T cell proliferation like control settings, whereas protease-treated MiTEs induced strong T cell proliferation that mimicked control activation treatment effect, anti-TREM2-IL2SK (Fig. 6B).</w:t>
      </w:r>
      <w:r w:rsidDel="00000000" w:rsidR="00000000" w:rsidRPr="00000000">
        <w:rPr>
          <w:rtl w:val="0"/>
        </w:rPr>
      </w:r>
    </w:p>
    <w:p w:rsidR="00000000" w:rsidDel="00000000" w:rsidP="00000000" w:rsidRDefault="00000000" w:rsidRPr="00000000" w14:paraId="00000008">
      <w:pPr>
        <w:jc w:val="both"/>
        <w:rPr/>
      </w:pPr>
      <w:bookmarkStart w:colFirst="0" w:colLast="0" w:name="_heading=h.35nkun2" w:id="4"/>
      <w:bookmarkEnd w:id="4"/>
      <w:r w:rsidDel="00000000" w:rsidR="00000000" w:rsidRPr="00000000">
        <w:rPr>
          <w:b w:val="1"/>
          <w:i w:val="1"/>
          <w:color w:val="4472c4"/>
          <w:rtl w:val="0"/>
        </w:rPr>
        <w:t xml:space="preserve">Efficacy and effect of MiTE molecules in vivo.</w:t>
      </w:r>
      <w:r w:rsidDel="00000000" w:rsidR="00000000" w:rsidRPr="00000000">
        <w:rPr>
          <w:rtl w:val="0"/>
        </w:rPr>
        <w:t xml:space="preserve"> To assess the effect of our PoC MiTE molecules </w:t>
      </w:r>
      <w:r w:rsidDel="00000000" w:rsidR="00000000" w:rsidRPr="00000000">
        <w:rPr>
          <w:i w:val="1"/>
          <w:rtl w:val="0"/>
        </w:rPr>
        <w:t xml:space="preserve">in vivo, </w:t>
      </w:r>
      <w:r w:rsidDel="00000000" w:rsidR="00000000" w:rsidRPr="00000000">
        <w:rPr>
          <w:rtl w:val="0"/>
        </w:rPr>
        <w:t xml:space="preserve">we used our syngeneic MC38 tumor model and systemically administrated 200ug of MiTE molecules per dose</w:t>
      </w:r>
      <w:r w:rsidDel="00000000" w:rsidR="00000000" w:rsidRPr="00000000">
        <w:rPr>
          <w:i w:val="1"/>
          <w:rtl w:val="0"/>
        </w:rPr>
        <w:t xml:space="preserve">.</w:t>
      </w:r>
      <w:r w:rsidDel="00000000" w:rsidR="00000000" w:rsidRPr="00000000">
        <w:rPr>
          <w:rtl w:val="0"/>
        </w:rPr>
        <w:t xml:space="preserve"> Importantly, our MiTE-144 completely abrogated MC38 tumor growth (Fig. 7A). Our MiTE-144 outcompeted anti-TREM2, anti-PD-1 or anti-PD-1 together with anti-TREM2. Furthermore, MiTE-144 synergized with anti-PD1 checkpoint inhibition as shown by single-cell analysis (Fig. 7B-F). We measured scRNA-seq profiles of 24,527 high-quality leukocytes sorted from MC38 tumors. Treatment with MiTE-144 or MiTE-144 together with anti-PD1 led to a drastic shift towards increased cell densities (Fig. 7C) and frequencies (Fig. 7D) of NK and T cells compared to control-treated mice. Specifically, MiTE-144 and MiTE-144+anti-PD1 induced a striking enrichment in cytotoxic and cytotoxic proliferating CD8 T cells and a striking 5-fold increase in proliferating NK cell clusters in the TME (Fig. 7E). In-depth gene level analysis of the NK compartment revealed a drastic molecular reprogramming by MiTE-144 and even more dramatically by MiTE-144 together with anti-PD1. This reprogramming included an upregulation of cytotoxic genes, such as </w:t>
      </w:r>
      <w:r w:rsidDel="00000000" w:rsidR="00000000" w:rsidRPr="00000000">
        <w:rPr>
          <w:i w:val="1"/>
          <w:rtl w:val="0"/>
        </w:rPr>
        <w:t xml:space="preserve">Prf1</w:t>
      </w:r>
      <w:r w:rsidDel="00000000" w:rsidR="00000000" w:rsidRPr="00000000">
        <w:rPr>
          <w:rtl w:val="0"/>
        </w:rPr>
        <w:t xml:space="preserve"> (encoding Perforin-1), </w:t>
      </w:r>
      <w:r w:rsidDel="00000000" w:rsidR="00000000" w:rsidRPr="00000000">
        <w:rPr>
          <w:i w:val="1"/>
          <w:rtl w:val="0"/>
        </w:rPr>
        <w:t xml:space="preserve">Gzma</w:t>
      </w:r>
      <w:r w:rsidDel="00000000" w:rsidR="00000000" w:rsidRPr="00000000">
        <w:rPr>
          <w:rtl w:val="0"/>
        </w:rPr>
        <w:t xml:space="preserve"> and </w:t>
      </w:r>
      <w:r w:rsidDel="00000000" w:rsidR="00000000" w:rsidRPr="00000000">
        <w:rPr>
          <w:i w:val="1"/>
          <w:rtl w:val="0"/>
        </w:rPr>
        <w:t xml:space="preserve">Gzmb </w:t>
      </w:r>
      <w:r w:rsidDel="00000000" w:rsidR="00000000" w:rsidRPr="00000000">
        <w:rPr>
          <w:rtl w:val="0"/>
        </w:rPr>
        <w:t xml:space="preserve">(encoding Granzyme A and B), and proliferating genes, and simultaneous reduction of exhaustion/dysfunction gene programs marked by low expression of genes encoding PD-1, CTLA-4, Lag-3 or Tigit (Fig. 4F). The results show a complete tumor eradication and molecular reprogramming of the tumor immune compartment of MiTE-144 and MiTE-144 together with anti-PD-1 with massive effects on the NK compartments as well as CD8 and CD4 T cells. A common tumor escape mechanism is through loss of MHC-I molecules or additional mechanism that block activity of antigen presentation</w:t>
      </w:r>
      <w:r w:rsidDel="00000000" w:rsidR="00000000" w:rsidRPr="00000000">
        <w:rPr>
          <w:vertAlign w:val="superscript"/>
          <w:rtl w:val="0"/>
        </w:rPr>
        <w:t xml:space="preserve">5</w:t>
      </w:r>
      <w:r w:rsidDel="00000000" w:rsidR="00000000" w:rsidRPr="00000000">
        <w:rPr>
          <w:rtl w:val="0"/>
        </w:rPr>
        <w:t xml:space="preserve">. As a result, current T cell ICB or T cell focused immunocytokines are limited through MHC I loss and other mechanisms tumor evolved to disarm T cells. Unlike ICB or T cell focused immunocytokines, our MiTE-144 and MiTE-144 together with aPD1 function in a </w:t>
      </w:r>
      <w:r w:rsidDel="00000000" w:rsidR="00000000" w:rsidRPr="00000000">
        <w:rPr>
          <w:i w:val="1"/>
          <w:rtl w:val="0"/>
        </w:rPr>
        <w:t xml:space="preserve">trans</w:t>
      </w:r>
      <w:r w:rsidDel="00000000" w:rsidR="00000000" w:rsidRPr="00000000">
        <w:rPr>
          <w:rtl w:val="0"/>
        </w:rPr>
        <w:t xml:space="preserve">-based mechanism and show a very dramatic effect on NK and T cells in the TME following treatment. While both MiTE and ICB activate the T cell arm, our </w:t>
      </w:r>
      <w:r w:rsidDel="00000000" w:rsidR="00000000" w:rsidRPr="00000000">
        <w:rPr>
          <w:i w:val="1"/>
          <w:rtl w:val="0"/>
        </w:rPr>
        <w:t xml:space="preserve">in vivo</w:t>
      </w:r>
      <w:r w:rsidDel="00000000" w:rsidR="00000000" w:rsidRPr="00000000">
        <w:rPr>
          <w:rtl w:val="0"/>
        </w:rPr>
        <w:t xml:space="preserve"> data demonstrates that NK cells are responding even more potently than T cells to IL2SK and bring the largest efficacy tumor killing effects. Importantly, the NK cells are not only not inhibited by MHC-I loss but rather activated by such signals and hence can be very effective even in PD-1 unresponsive tumors including potential patients with mutations in the MHC-I pathway. Overall, our single-cell analyses of the TME demonstrates that our PoC MiTE molecules have the potential to completely reshape the TME, unleashing a robust NK and T cell effector response and allowing effective tumor control. These results strongly indicate that using our data-driven approaches is effective in reducing off-target effects and toxicity while maximizing efficacy in the TME by enabling the development of a first-of-their-kind MiTE molecules with both myeloid checkpoint and NK and T cell activation in the TME that demonstrate massive efficacy and minimal toxicity.</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-114299</wp:posOffset>
                </wp:positionH>
                <wp:positionV relativeFrom="paragraph">
                  <wp:posOffset>0</wp:posOffset>
                </wp:positionV>
                <wp:extent cx="6571615" cy="3990975"/>
                <wp:effectExtent b="0" l="0" r="0" t="0"/>
                <wp:wrapSquare wrapText="bothSides" distB="0" distT="0" distL="114300" distR="114300"/>
                <wp:docPr id="2135458717" name=""/>
                <a:graphic>
                  <a:graphicData uri="http://schemas.microsoft.com/office/word/2010/wordprocessingGroup">
                    <wpg:wgp>
                      <wpg:cNvGrpSpPr/>
                      <wpg:grpSpPr>
                        <a:xfrm>
                          <a:off x="2060175" y="1784500"/>
                          <a:ext cx="6571615" cy="3990975"/>
                          <a:chOff x="2060175" y="1784500"/>
                          <a:chExt cx="6571650" cy="3991000"/>
                        </a:xfrm>
                      </wpg:grpSpPr>
                      <wpg:grpSp>
                        <wpg:cNvGrpSpPr/>
                        <wpg:grpSpPr>
                          <a:xfrm>
                            <a:off x="2060193" y="1784513"/>
                            <a:ext cx="6571615" cy="3990975"/>
                            <a:chOff x="190123" y="13581"/>
                            <a:chExt cx="6572105" cy="3991465"/>
                          </a:xfrm>
                        </wpg:grpSpPr>
                        <wps:wsp>
                          <wps:cNvSpPr/>
                          <wps:cNvPr id="3" name="Shape 3"/>
                          <wps:spPr>
                            <a:xfrm>
                              <a:off x="190123" y="13581"/>
                              <a:ext cx="6572100" cy="39914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 name="Shape 7"/>
                          <wps:spPr>
                            <a:xfrm>
                              <a:off x="217283" y="3607806"/>
                              <a:ext cx="6544945" cy="397240"/>
                            </a:xfrm>
                            <a:prstGeom prst="rect">
                              <a:avLst/>
                            </a:prstGeom>
                            <a:solidFill>
                              <a:schemeClr val="lt1"/>
                            </a:solidFill>
                            <a:ln>
                              <a:noFill/>
                            </a:ln>
                          </wps:spPr>
                          <wps:txbx>
                            <w:txbxContent>
                              <w:p w:rsidR="00000000" w:rsidDel="00000000" w:rsidP="00000000" w:rsidRDefault="00000000" w:rsidRPr="00000000">
                                <w:pPr>
                                  <w:spacing w:after="0" w:before="0" w:line="240"/>
                                  <w:ind w:left="0" w:right="0" w:firstLine="0"/>
                                  <w:jc w:val="both"/>
                                  <w:textDirection w:val="btLr"/>
                                </w:pPr>
                                <w:r w:rsidDel="00000000" w:rsidR="00000000" w:rsidRPr="00000000">
                                  <w:rPr>
                                    <w:rFonts w:ascii="Calibri" w:cs="Calibri" w:eastAsia="Calibri" w:hAnsi="Calibri"/>
                                    <w:b w:val="1"/>
                                    <w:i w:val="1"/>
                                    <w:smallCaps w:val="0"/>
                                    <w:strike w:val="0"/>
                                    <w:color w:val="000000"/>
                                    <w:sz w:val="18"/>
                                    <w:vertAlign w:val="baseline"/>
                                  </w:rPr>
                                  <w:t xml:space="preserve">Figure 6</w:t>
                                </w:r>
                                <w:r w:rsidDel="00000000" w:rsidR="00000000" w:rsidRPr="00000000">
                                  <w:rPr>
                                    <w:rFonts w:ascii="Calibri" w:cs="Calibri" w:eastAsia="Calibri" w:hAnsi="Calibri"/>
                                    <w:b w:val="0"/>
                                    <w:i w:val="1"/>
                                    <w:smallCaps w:val="0"/>
                                    <w:strike w:val="0"/>
                                    <w:color w:val="000000"/>
                                    <w:sz w:val="18"/>
                                    <w:vertAlign w:val="baseline"/>
                                  </w:rPr>
                                  <w:t xml:space="preserve">: </w:t>
                                </w:r>
                                <w:r w:rsidDel="00000000" w:rsidR="00000000" w:rsidRPr="00000000">
                                  <w:rPr>
                                    <w:rFonts w:ascii="Calibri" w:cs="Calibri" w:eastAsia="Calibri" w:hAnsi="Calibri"/>
                                    <w:b w:val="1"/>
                                    <w:i w:val="1"/>
                                    <w:smallCaps w:val="0"/>
                                    <w:strike w:val="0"/>
                                    <w:color w:val="000000"/>
                                    <w:sz w:val="18"/>
                                    <w:vertAlign w:val="baseline"/>
                                  </w:rPr>
                                  <w:t xml:space="preserve">A-B</w:t>
                                </w:r>
                                <w:r w:rsidDel="00000000" w:rsidR="00000000" w:rsidRPr="00000000">
                                  <w:rPr>
                                    <w:rFonts w:ascii="Calibri" w:cs="Calibri" w:eastAsia="Calibri" w:hAnsi="Calibri"/>
                                    <w:b w:val="0"/>
                                    <w:i w:val="1"/>
                                    <w:smallCaps w:val="0"/>
                                    <w:strike w:val="0"/>
                                    <w:color w:val="000000"/>
                                    <w:sz w:val="18"/>
                                    <w:vertAlign w:val="baseline"/>
                                  </w:rPr>
                                  <w:t xml:space="preserve">. HEK Blue CD122/CD132 Assay (n=3)(A) and human T cell proliferation assay measured via flow cytometry (n=3)(B) demonstrating IL-2 activity of our MiTE molecules upon cleavage with TAM-specific protease in vitro.</w:t>
                                </w:r>
                              </w:p>
                            </w:txbxContent>
                          </wps:txbx>
                          <wps:bodyPr anchorCtr="0" anchor="t" bIns="45700" lIns="91425" spcFirstLastPara="1" rIns="91425" wrap="square" tIns="45700">
                            <a:noAutofit/>
                          </wps:bodyPr>
                        </wps:wsp>
                        <wps:wsp>
                          <wps:cNvSpPr/>
                          <wps:cNvPr id="8" name="Shape 8"/>
                          <wps:spPr>
                            <a:xfrm>
                              <a:off x="190123" y="13581"/>
                              <a:ext cx="6477635" cy="3964940"/>
                            </a:xfrm>
                            <a:prstGeom prst="rect">
                              <a:avLst/>
                            </a:prstGeom>
                            <a:solidFill>
                              <a:srgbClr val="FFFFFF"/>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-114299</wp:posOffset>
                </wp:positionH>
                <wp:positionV relativeFrom="paragraph">
                  <wp:posOffset>0</wp:posOffset>
                </wp:positionV>
                <wp:extent cx="6571615" cy="3990975"/>
                <wp:effectExtent b="0" l="0" r="0" t="0"/>
                <wp:wrapSquare wrapText="bothSides" distB="0" distT="0" distL="114300" distR="114300"/>
                <wp:docPr id="2135458717" name="image2.png"/>
                <a:graphic>
                  <a:graphicData uri="http://schemas.openxmlformats.org/drawingml/2006/picture">
                    <pic:pic>
                      <pic:nvPicPr>
                        <pic:cNvPr id="0" name="image2.png"/>
                        <pic:cNvPicPr preferRelativeResize="0"/>
                      </pic:nvPicPr>
                      <pic:blipFill>
                        <a:blip r:embed="rId10"/>
                        <a:srcRect/>
                        <a:stretch>
                          <a:fillRect/>
                        </a:stretch>
                      </pic:blipFill>
                      <pic:spPr>
                        <a:xfrm>
                          <a:off x="0" y="0"/>
                          <a:ext cx="6571615" cy="399097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-88899</wp:posOffset>
                </wp:positionH>
                <wp:positionV relativeFrom="paragraph">
                  <wp:posOffset>1270000</wp:posOffset>
                </wp:positionV>
                <wp:extent cx="6781800" cy="7844790"/>
                <wp:effectExtent b="0" l="0" r="0" t="0"/>
                <wp:wrapSquare wrapText="bothSides" distB="0" distT="0" distL="114300" distR="114300"/>
                <wp:docPr id="2135458719" name=""/>
                <a:graphic>
                  <a:graphicData uri="http://schemas.microsoft.com/office/word/2010/wordprocessingGroup">
                    <wpg:wgp>
                      <wpg:cNvGrpSpPr/>
                      <wpg:grpSpPr>
                        <a:xfrm>
                          <a:off x="1955100" y="0"/>
                          <a:ext cx="6781800" cy="7844790"/>
                          <a:chOff x="1955100" y="0"/>
                          <a:chExt cx="6781800" cy="7560000"/>
                        </a:xfrm>
                      </wpg:grpSpPr>
                      <wpg:grpSp>
                        <wpg:cNvGrpSpPr/>
                        <wpg:grpSpPr>
                          <a:xfrm>
                            <a:off x="1955100" y="0"/>
                            <a:ext cx="6781800" cy="7560000"/>
                            <a:chOff x="58848" y="-627734"/>
                            <a:chExt cx="6781832" cy="7845720"/>
                          </a:xfrm>
                        </wpg:grpSpPr>
                        <wps:wsp>
                          <wps:cNvSpPr/>
                          <wps:cNvPr id="3" name="Shape 3"/>
                          <wps:spPr>
                            <a:xfrm>
                              <a:off x="58848" y="-627734"/>
                              <a:ext cx="6781825" cy="7845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 name="Shape 13"/>
                          <wps:spPr>
                            <a:xfrm>
                              <a:off x="169927" y="5864493"/>
                              <a:ext cx="6572816" cy="1353493"/>
                            </a:xfrm>
                            <a:prstGeom prst="rect">
                              <a:avLst/>
                            </a:prstGeom>
                            <a:solidFill>
                              <a:schemeClr val="lt1"/>
                            </a:solidFill>
                            <a:ln>
                              <a:noFill/>
                            </a:ln>
                          </wps:spPr>
                          <wps:txbx>
                            <w:txbxContent>
                              <w:p w:rsidR="00000000" w:rsidDel="00000000" w:rsidP="00000000" w:rsidRDefault="00000000" w:rsidRPr="00000000">
                                <w:pPr>
                                  <w:spacing w:after="0" w:before="0" w:line="240"/>
                                  <w:ind w:left="0" w:right="0" w:firstLine="0"/>
                                  <w:jc w:val="both"/>
                                  <w:textDirection w:val="btLr"/>
                                </w:pPr>
                                <w:r w:rsidDel="00000000" w:rsidR="00000000" w:rsidRPr="00000000">
                                  <w:rPr>
                                    <w:rFonts w:ascii="Calibri" w:cs="Calibri" w:eastAsia="Calibri" w:hAnsi="Calibri"/>
                                    <w:b w:val="0"/>
                                    <w:i w:val="1"/>
                                    <w:smallCaps w:val="0"/>
                                    <w:strike w:val="0"/>
                                    <w:color w:val="000000"/>
                                    <w:sz w:val="20"/>
                                    <w:vertAlign w:val="baseline"/>
                                  </w:rPr>
                                  <w:t xml:space="preserve">Figure 7: </w:t>
                                </w:r>
                                <w:r w:rsidDel="00000000" w:rsidR="00000000" w:rsidRPr="00000000">
                                  <w:rPr>
                                    <w:rFonts w:ascii="Calibri" w:cs="Calibri" w:eastAsia="Calibri" w:hAnsi="Calibri"/>
                                    <w:b w:val="1"/>
                                    <w:i w:val="1"/>
                                    <w:smallCaps w:val="0"/>
                                    <w:strike w:val="0"/>
                                    <w:color w:val="000000"/>
                                    <w:sz w:val="18"/>
                                    <w:vertAlign w:val="baseline"/>
                                  </w:rPr>
                                  <w:t xml:space="preserve">A.</w:t>
                                </w:r>
                                <w:r w:rsidDel="00000000" w:rsidR="00000000" w:rsidRPr="00000000">
                                  <w:rPr>
                                    <w:rFonts w:ascii="Calibri" w:cs="Calibri" w:eastAsia="Calibri" w:hAnsi="Calibri"/>
                                    <w:b w:val="0"/>
                                    <w:i w:val="1"/>
                                    <w:smallCaps w:val="0"/>
                                    <w:strike w:val="0"/>
                                    <w:color w:val="000000"/>
                                    <w:sz w:val="18"/>
                                    <w:vertAlign w:val="baseline"/>
                                  </w:rPr>
                                  <w:t xml:space="preserve"> Transgenic human TREM2 mice were inoculated with 1x106 MC38 cells and treated on indicated days with 200ug/dosage. Tumor growth curve shows that</w:t>
                                </w:r>
                                <w:r w:rsidDel="00000000" w:rsidR="00000000" w:rsidRPr="00000000">
                                  <w:rPr>
                                    <w:rFonts w:ascii="Calibri" w:cs="Calibri" w:eastAsia="Calibri" w:hAnsi="Calibri"/>
                                    <w:b w:val="0"/>
                                    <w:i w:val="0"/>
                                    <w:smallCaps w:val="0"/>
                                    <w:strike w:val="0"/>
                                    <w:color w:val="000000"/>
                                    <w:sz w:val="18"/>
                                    <w:vertAlign w:val="baseline"/>
                                  </w:rPr>
                                  <w:t xml:space="preserve"> </w:t>
                                </w:r>
                                <w:r w:rsidDel="00000000" w:rsidR="00000000" w:rsidRPr="00000000">
                                  <w:rPr>
                                    <w:rFonts w:ascii="Calibri" w:cs="Calibri" w:eastAsia="Calibri" w:hAnsi="Calibri"/>
                                    <w:b w:val="0"/>
                                    <w:i w:val="1"/>
                                    <w:smallCaps w:val="0"/>
                                    <w:strike w:val="0"/>
                                    <w:color w:val="000000"/>
                                    <w:sz w:val="18"/>
                                    <w:vertAlign w:val="baseline"/>
                                  </w:rPr>
                                  <w:t xml:space="preserve">MiTE-144 abolishes MC38 tumor growth in vivo and synergizes with ICB anti-PD1. </w:t>
                                </w:r>
                                <w:r w:rsidDel="00000000" w:rsidR="00000000" w:rsidRPr="00000000">
                                  <w:rPr>
                                    <w:rFonts w:ascii="Calibri" w:cs="Calibri" w:eastAsia="Calibri" w:hAnsi="Calibri"/>
                                    <w:b w:val="1"/>
                                    <w:i w:val="1"/>
                                    <w:smallCaps w:val="0"/>
                                    <w:strike w:val="0"/>
                                    <w:color w:val="000000"/>
                                    <w:sz w:val="18"/>
                                    <w:vertAlign w:val="baseline"/>
                                  </w:rPr>
                                  <w:t xml:space="preserve">B.</w:t>
                                </w:r>
                                <w:r w:rsidDel="00000000" w:rsidR="00000000" w:rsidRPr="00000000">
                                  <w:rPr>
                                    <w:rFonts w:ascii="Calibri" w:cs="Calibri" w:eastAsia="Calibri" w:hAnsi="Calibri"/>
                                    <w:b w:val="0"/>
                                    <w:i w:val="1"/>
                                    <w:smallCaps w:val="0"/>
                                    <w:strike w:val="0"/>
                                    <w:color w:val="000000"/>
                                    <w:sz w:val="18"/>
                                    <w:vertAlign w:val="baseline"/>
                                  </w:rPr>
                                  <w:t xml:space="preserve"> Single-cell RNA seq analyses of immune cells isolated on day 11 from MC38 tumors after two treatments and UMAP displaying identified cell clusters. </w:t>
                                </w:r>
                                <w:r w:rsidDel="00000000" w:rsidR="00000000" w:rsidRPr="00000000">
                                  <w:rPr>
                                    <w:rFonts w:ascii="Calibri" w:cs="Calibri" w:eastAsia="Calibri" w:hAnsi="Calibri"/>
                                    <w:b w:val="1"/>
                                    <w:i w:val="1"/>
                                    <w:smallCaps w:val="0"/>
                                    <w:strike w:val="0"/>
                                    <w:color w:val="000000"/>
                                    <w:sz w:val="18"/>
                                    <w:vertAlign w:val="baseline"/>
                                  </w:rPr>
                                  <w:t xml:space="preserve">C.</w:t>
                                </w:r>
                                <w:r w:rsidDel="00000000" w:rsidR="00000000" w:rsidRPr="00000000">
                                  <w:rPr>
                                    <w:rFonts w:ascii="Calibri" w:cs="Calibri" w:eastAsia="Calibri" w:hAnsi="Calibri"/>
                                    <w:b w:val="0"/>
                                    <w:i w:val="1"/>
                                    <w:smallCaps w:val="0"/>
                                    <w:strike w:val="0"/>
                                    <w:color w:val="000000"/>
                                    <w:sz w:val="18"/>
                                    <w:vertAlign w:val="baseline"/>
                                  </w:rPr>
                                  <w:t xml:space="preserve"> UMAPs displaying cells from each treatment group with overlayed cell densities. </w:t>
                                </w:r>
                                <w:r w:rsidDel="00000000" w:rsidR="00000000" w:rsidRPr="00000000">
                                  <w:rPr>
                                    <w:rFonts w:ascii="Calibri" w:cs="Calibri" w:eastAsia="Calibri" w:hAnsi="Calibri"/>
                                    <w:b w:val="1"/>
                                    <w:i w:val="1"/>
                                    <w:smallCaps w:val="0"/>
                                    <w:strike w:val="0"/>
                                    <w:color w:val="000000"/>
                                    <w:sz w:val="18"/>
                                    <w:vertAlign w:val="baseline"/>
                                  </w:rPr>
                                  <w:t xml:space="preserve">D.</w:t>
                                </w:r>
                                <w:r w:rsidDel="00000000" w:rsidR="00000000" w:rsidRPr="00000000">
                                  <w:rPr>
                                    <w:rFonts w:ascii="Calibri" w:cs="Calibri" w:eastAsia="Calibri" w:hAnsi="Calibri"/>
                                    <w:b w:val="0"/>
                                    <w:i w:val="1"/>
                                    <w:smallCaps w:val="0"/>
                                    <w:strike w:val="0"/>
                                    <w:color w:val="000000"/>
                                    <w:sz w:val="18"/>
                                    <w:vertAlign w:val="baseline"/>
                                  </w:rPr>
                                  <w:t xml:space="preserve"> Frequencies of cell clusters among total immune cells in the tumors. Treatment with MiTE-144 and MiTE-144 together with aPD1 reprogram frequencies of immune cell populations. </w:t>
                                </w:r>
                                <w:r w:rsidDel="00000000" w:rsidR="00000000" w:rsidRPr="00000000">
                                  <w:rPr>
                                    <w:rFonts w:ascii="Calibri" w:cs="Calibri" w:eastAsia="Calibri" w:hAnsi="Calibri"/>
                                    <w:b w:val="1"/>
                                    <w:i w:val="1"/>
                                    <w:smallCaps w:val="0"/>
                                    <w:strike w:val="0"/>
                                    <w:color w:val="000000"/>
                                    <w:sz w:val="18"/>
                                    <w:vertAlign w:val="baseline"/>
                                  </w:rPr>
                                  <w:t xml:space="preserve">E.</w:t>
                                </w:r>
                                <w:r w:rsidDel="00000000" w:rsidR="00000000" w:rsidRPr="00000000">
                                  <w:rPr>
                                    <w:rFonts w:ascii="Calibri" w:cs="Calibri" w:eastAsia="Calibri" w:hAnsi="Calibri"/>
                                    <w:b w:val="0"/>
                                    <w:i w:val="1"/>
                                    <w:smallCaps w:val="0"/>
                                    <w:strike w:val="0"/>
                                    <w:color w:val="000000"/>
                                    <w:sz w:val="18"/>
                                    <w:vertAlign w:val="baseline"/>
                                  </w:rPr>
                                  <w:t xml:space="preserve"> Boxplots of selected immune cell populations displaying frequencies of total T cells across all treatment groups showing increased frequencies of proliferating NK and T cells. </w:t>
                                </w:r>
                                <w:r w:rsidDel="00000000" w:rsidR="00000000" w:rsidRPr="00000000">
                                  <w:rPr>
                                    <w:rFonts w:ascii="Calibri" w:cs="Calibri" w:eastAsia="Calibri" w:hAnsi="Calibri"/>
                                    <w:b w:val="1"/>
                                    <w:i w:val="1"/>
                                    <w:smallCaps w:val="0"/>
                                    <w:strike w:val="0"/>
                                    <w:color w:val="000000"/>
                                    <w:sz w:val="18"/>
                                    <w:vertAlign w:val="baseline"/>
                                  </w:rPr>
                                  <w:t xml:space="preserve">F.</w:t>
                                </w:r>
                                <w:r w:rsidDel="00000000" w:rsidR="00000000" w:rsidRPr="00000000">
                                  <w:rPr>
                                    <w:rFonts w:ascii="Calibri" w:cs="Calibri" w:eastAsia="Calibri" w:hAnsi="Calibri"/>
                                    <w:b w:val="0"/>
                                    <w:i w:val="1"/>
                                    <w:smallCaps w:val="0"/>
                                    <w:strike w:val="0"/>
                                    <w:color w:val="000000"/>
                                    <w:sz w:val="18"/>
                                    <w:vertAlign w:val="baseline"/>
                                  </w:rPr>
                                  <w:t xml:space="preserve"> Dotplot and Violinplots displaying selected differentially expressed genes in NK cells between the aRSV control and at least one of treatment group. NK cells isolated from tumors of mice treated with MiTE-144 and MiTE-144 together with aPD1 show a gene signature of increased cytotoxicity and proliferation with reduced exhaustion/dysfunction.</w:t>
                                </w:r>
                              </w:p>
                            </w:txbxContent>
                          </wps:txbx>
                          <wps:bodyPr anchorCtr="0" anchor="t" bIns="36000" lIns="36000" spcFirstLastPara="1" rIns="36000" wrap="square" tIns="36000">
                            <a:noAutofit/>
                          </wps:bodyPr>
                        </wps:wsp>
                        <wps:wsp>
                          <wps:cNvSpPr/>
                          <wps:cNvPr id="14" name="Shape 14"/>
                          <wps:spPr>
                            <a:xfrm>
                              <a:off x="58848" y="-627734"/>
                              <a:ext cx="6781832" cy="6589110"/>
                            </a:xfrm>
                            <a:prstGeom prst="rect">
                              <a:avLst/>
                            </a:prstGeom>
                            <a:solidFill>
                              <a:srgbClr val="FFFFFF"/>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-88899</wp:posOffset>
                </wp:positionH>
                <wp:positionV relativeFrom="paragraph">
                  <wp:posOffset>1270000</wp:posOffset>
                </wp:positionV>
                <wp:extent cx="6781800" cy="7844790"/>
                <wp:effectExtent b="0" l="0" r="0" t="0"/>
                <wp:wrapSquare wrapText="bothSides" distB="0" distT="0" distL="114300" distR="114300"/>
                <wp:docPr id="2135458719" name="image4.png"/>
                <a:graphic>
                  <a:graphicData uri="http://schemas.openxmlformats.org/drawingml/2006/picture">
                    <pic:pic>
                      <pic:nvPicPr>
                        <pic:cNvPr id="0" name="image4.png"/>
                        <pic:cNvPicPr preferRelativeResize="0"/>
                      </pic:nvPicPr>
                      <pic:blipFill>
                        <a:blip r:embed="rId11"/>
                        <a:srcRect/>
                        <a:stretch>
                          <a:fillRect/>
                        </a:stretch>
                      </pic:blipFill>
                      <pic:spPr>
                        <a:xfrm>
                          <a:off x="0" y="0"/>
                          <a:ext cx="6781800" cy="7844790"/>
                        </a:xfrm>
                        <a:prstGeom prst="rect"/>
                        <a:ln/>
                      </pic:spPr>
                    </pic:pic>
                  </a:graphicData>
                </a:graphic>
              </wp:anchor>
            </w:drawing>
          </mc:Fallback>
        </mc:AlternateContent>
      </w:r>
    </w:p>
    <w:p w:rsidR="00000000" w:rsidDel="00000000" w:rsidP="00000000" w:rsidRDefault="00000000" w:rsidRPr="00000000" w14:paraId="00000009">
      <w:pPr>
        <w:jc w:val="both"/>
        <w:rPr/>
      </w:pPr>
      <w:r w:rsidDel="00000000" w:rsidR="00000000" w:rsidRPr="00000000">
        <w:rPr>
          <w:rtl w:val="0"/>
        </w:rPr>
        <w:t xml:space="preserve">These results </w:t>
      </w:r>
      <w:r w:rsidDel="00000000" w:rsidR="00000000" w:rsidRPr="00000000">
        <w:rPr>
          <w:b w:val="1"/>
          <w:rtl w:val="0"/>
        </w:rPr>
        <w:t xml:space="preserve">indicate the huge impact and relatively low risk in utilizing our TREM2-focused approach for the development of novel MiTE immunotherapies applicable for ICB-resistant solid tumors</w:t>
      </w:r>
      <w:r w:rsidDel="00000000" w:rsidR="00000000" w:rsidRPr="00000000">
        <w:rPr>
          <w:rtl w:val="0"/>
        </w:rPr>
        <w:t xml:space="preserve">. Importantly, all experiments were conducted with a TREM2 humanized mice model and our anti-human TREM2 Fab, and we also generated a fully humanized molecule with similar properties. Our lab’s advanced single-cell multiomics technologies and in-depth understanding of the complex interaction between cancer, immune and stromal cells in the TME provide a solid foundation for establishing the most advanced pipeline for myeloid-based immunocytokines and advancing these novel MiTE</w:t>
      </w:r>
      <w:r w:rsidDel="00000000" w:rsidR="00000000" w:rsidRPr="00000000">
        <w:rPr>
          <w:b w:val="1"/>
          <w:rtl w:val="0"/>
        </w:rPr>
        <w:t xml:space="preserve"> </w:t>
      </w:r>
      <w:r w:rsidDel="00000000" w:rsidR="00000000" w:rsidRPr="00000000">
        <w:rPr>
          <w:rtl w:val="0"/>
        </w:rPr>
        <w:t xml:space="preserve">molecules toward the IND and commercialization stage.</w:t>
      </w:r>
    </w:p>
    <w:p w:rsidR="00000000" w:rsidDel="00000000" w:rsidP="00000000" w:rsidRDefault="00000000" w:rsidRPr="00000000" w14:paraId="0000000A">
      <w:pPr>
        <w:widowControl w:val="1"/>
        <w:spacing w:after="160" w:line="278.00000000000006" w:lineRule="auto"/>
        <w:rPr>
          <w:color w:val="000000"/>
          <w:sz w:val="18"/>
          <w:szCs w:val="18"/>
        </w:rPr>
      </w:pPr>
      <w:r w:rsidDel="00000000" w:rsidR="00000000" w:rsidRPr="00000000">
        <w:rPr>
          <w:rtl w:val="0"/>
        </w:rPr>
      </w:r>
    </w:p>
    <w:sectPr>
      <w:headerReference r:id="rId12" w:type="default"/>
      <w:headerReference r:id="rId13" w:type="first"/>
      <w:footerReference r:id="rId14" w:type="default"/>
      <w:footerReference r:id="rId15" w:type="first"/>
      <w:pgSz w:h="16838" w:w="11906" w:orient="portrait"/>
      <w:pgMar w:bottom="851" w:top="851" w:left="851" w:right="851"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Times New Roman"/>
  <w:font w:name="Georgia"/>
  <w:font w:name="EC Square Sans Pro Ligh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D">
    <w:pPr>
      <w:tabs>
        <w:tab w:val="center" w:leader="none" w:pos="4536"/>
        <w:tab w:val="right" w:leader="none" w:pos="9072"/>
      </w:tabs>
      <w:jc w:val="center"/>
      <w:rPr>
        <w:sz w:val="20"/>
        <w:szCs w:val="20"/>
      </w:rPr>
    </w:pPr>
    <w:r w:rsidDel="00000000" w:rsidR="00000000" w:rsidRPr="00000000">
      <w:rPr>
        <w:sz w:val="20"/>
        <w:szCs w:val="20"/>
        <w:rtl w:val="0"/>
      </w:rPr>
      <w:t xml:space="preserve">Part B - page </w:t>
    </w:r>
    <w:r w:rsidDel="00000000" w:rsidR="00000000" w:rsidRPr="00000000">
      <w:rPr>
        <w:sz w:val="20"/>
        <w:szCs w:val="20"/>
      </w:rPr>
      <w:fldChar w:fldCharType="begin"/>
      <w:instrText xml:space="preserve">PAGE</w:instrText>
      <w:fldChar w:fldCharType="separate"/>
      <w:fldChar w:fldCharType="end"/>
    </w:r>
    <w:r w:rsidDel="00000000" w:rsidR="00000000" w:rsidRPr="00000000">
      <w:rPr>
        <w:sz w:val="20"/>
        <w:szCs w:val="20"/>
        <w:rtl w:val="0"/>
      </w:rPr>
      <w:t xml:space="preserve"> of 21</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E">
    <w:pPr>
      <w:tabs>
        <w:tab w:val="center" w:leader="none" w:pos="4536"/>
        <w:tab w:val="right" w:leader="none" w:pos="9072"/>
      </w:tabs>
      <w:jc w:val="center"/>
      <w:rPr/>
    </w:pPr>
    <w:r w:rsidDel="00000000" w:rsidR="00000000" w:rsidRPr="00000000">
      <w:rPr>
        <w:sz w:val="20"/>
        <w:szCs w:val="20"/>
        <w:rtl w:val="0"/>
      </w:rPr>
      <w:t xml:space="preserve">Part B - page </w:t>
    </w:r>
    <w:r w:rsidDel="00000000" w:rsidR="00000000" w:rsidRPr="00000000">
      <w:rPr>
        <w:sz w:val="20"/>
        <w:szCs w:val="20"/>
      </w:rPr>
      <w:fldChar w:fldCharType="begin"/>
      <w:instrText xml:space="preserve">PAGE</w:instrText>
      <w:fldChar w:fldCharType="separate"/>
      <w:fldChar w:fldCharType="end"/>
    </w:r>
    <w:r w:rsidDel="00000000" w:rsidR="00000000" w:rsidRPr="00000000">
      <w:rPr>
        <w:sz w:val="20"/>
        <w:szCs w:val="20"/>
        <w:rtl w:val="0"/>
      </w:rPr>
      <w:t xml:space="preserve"> of 20</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B">
    <w:pPr>
      <w:tabs>
        <w:tab w:val="center" w:leader="none" w:pos="4536"/>
        <w:tab w:val="right" w:leader="none" w:pos="9072"/>
      </w:tabs>
      <w:rPr/>
    </w:pPr>
    <w:r w:rsidDel="00000000" w:rsidR="00000000" w:rsidRPr="00000000">
      <w:rPr>
        <w:sz w:val="20"/>
        <w:szCs w:val="20"/>
        <w:rtl w:val="0"/>
      </w:rPr>
      <w:t xml:space="preserve">EIC Transition 2022 - HORIZON-EIC-2022-TRANSITION-01</w:t>
      <w:tab/>
    </w:r>
    <w:r w:rsidDel="00000000" w:rsidR="00000000" w:rsidRPr="00000000">
      <w:rPr>
        <w:color w:val="222222"/>
        <w:sz w:val="20"/>
        <w:szCs w:val="20"/>
        <w:highlight w:val="white"/>
        <w:rtl w:val="0"/>
      </w:rPr>
      <w:t xml:space="preserve">MiTE</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C">
    <w:pPr>
      <w:tabs>
        <w:tab w:val="center" w:leader="none" w:pos="4536"/>
        <w:tab w:val="right" w:leader="none" w:pos="10204"/>
      </w:tabs>
      <w:rPr>
        <w:sz w:val="20"/>
        <w:szCs w:val="20"/>
      </w:rPr>
    </w:pPr>
    <w:r w:rsidDel="00000000" w:rsidR="00000000" w:rsidRPr="00000000">
      <w:rPr>
        <w:sz w:val="20"/>
        <w:szCs w:val="20"/>
        <w:rtl w:val="0"/>
      </w:rPr>
      <w:t xml:space="preserve">EIC Transition 2024 - HORIZON-EIC-2024-TRANSITION-01</w:t>
      <w:tab/>
    </w:r>
    <w:r w:rsidDel="00000000" w:rsidR="00000000" w:rsidRPr="00000000">
      <w:rPr>
        <w:color w:val="222222"/>
        <w:sz w:val="20"/>
        <w:szCs w:val="20"/>
        <w:highlight w:val="white"/>
        <w:rtl w:val="0"/>
      </w:rPr>
      <w:t xml:space="preserve">MiTE</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shd w:fill="bdd7ee" w:val="clear"/>
      <w:spacing w:after="60" w:before="60" w:lineRule="auto"/>
      <w:jc w:val="both"/>
    </w:pPr>
    <w:rPr>
      <w:b w:val="1"/>
    </w:rPr>
  </w:style>
  <w:style w:type="paragraph" w:styleId="Heading2">
    <w:name w:val="heading 2"/>
    <w:basedOn w:val="Normal"/>
    <w:next w:val="Normal"/>
    <w:pPr>
      <w:shd w:fill="9cc3e5" w:val="clear"/>
      <w:spacing w:after="60" w:before="60" w:lineRule="auto"/>
    </w:pPr>
    <w:rPr>
      <w:b w:val="1"/>
    </w:rPr>
  </w:style>
  <w:style w:type="paragraph" w:styleId="Heading3">
    <w:name w:val="heading 3"/>
    <w:basedOn w:val="Normal"/>
    <w:next w:val="Normal"/>
    <w:pPr>
      <w:widowControl w:val="1"/>
      <w:spacing w:after="60" w:before="60" w:lineRule="auto"/>
      <w:jc w:val="both"/>
    </w:pPr>
    <w:rPr>
      <w:rFonts w:ascii="Arial" w:cs="Arial" w:eastAsia="Arial" w:hAnsi="Arial"/>
      <w:b w:val="1"/>
      <w:color w:val="2f5496"/>
      <w:u w:val="single"/>
    </w:rPr>
  </w:style>
  <w:style w:type="paragraph" w:styleId="Heading4">
    <w:name w:val="heading 4"/>
    <w:basedOn w:val="Normal"/>
    <w:next w:val="Normal"/>
    <w:pPr>
      <w:ind w:left="146"/>
    </w:pPr>
    <w:rPr>
      <w:rFonts w:ascii="EC Square Sans Pro Light" w:cs="EC Square Sans Pro Light" w:eastAsia="EC Square Sans Pro Light" w:hAnsi="EC Square Sans Pro Light"/>
      <w:sz w:val="30"/>
      <w:szCs w:val="30"/>
    </w:rPr>
  </w:style>
  <w:style w:type="paragraph" w:styleId="Heading5">
    <w:name w:val="heading 5"/>
    <w:basedOn w:val="Normal"/>
    <w:next w:val="Normal"/>
    <w:pPr>
      <w:ind w:left="833"/>
    </w:pPr>
    <w:rPr>
      <w:rFonts w:ascii="Times New Roman" w:cs="Times New Roman" w:eastAsia="Times New Roman" w:hAnsi="Times New Roman"/>
      <w:b w:val="1"/>
      <w:sz w:val="24"/>
      <w:szCs w:val="24"/>
    </w:rPr>
  </w:style>
  <w:style w:type="paragraph" w:styleId="Heading6">
    <w:name w:val="heading 6"/>
    <w:basedOn w:val="Normal"/>
    <w:next w:val="Normal"/>
    <w:pPr>
      <w:ind w:left="833"/>
    </w:pPr>
    <w:rPr>
      <w:rFonts w:ascii="Times New Roman" w:cs="Times New Roman" w:eastAsia="Times New Roman" w:hAnsi="Times New Roman"/>
      <w:b w:val="1"/>
      <w:i w:val="1"/>
      <w:sz w:val="24"/>
      <w:szCs w:val="24"/>
    </w:rPr>
  </w:style>
  <w:style w:type="paragraph" w:styleId="Title">
    <w:name w:val="Title"/>
    <w:basedOn w:val="Normal"/>
    <w:next w:val="Normal"/>
    <w:pPr>
      <w:widowControl w:val="1"/>
      <w:spacing w:after="160" w:line="259" w:lineRule="auto"/>
      <w:jc w:val="center"/>
    </w:pPr>
    <w:rPr>
      <w:b w:val="1"/>
    </w:rPr>
  </w:style>
  <w:style w:type="paragraph" w:styleId="a" w:default="1">
    <w:name w:val="Normal"/>
    <w:qFormat w:val="1"/>
    <w:rPr>
      <w:color w:val="000000"/>
    </w:rPr>
  </w:style>
  <w:style w:type="paragraph" w:styleId="1">
    <w:name w:val="heading 1"/>
    <w:basedOn w:val="a"/>
    <w:next w:val="a"/>
    <w:link w:val="10"/>
    <w:uiPriority w:val="9"/>
    <w:qFormat w:val="1"/>
    <w:rsid w:val="00A74913"/>
    <w:pPr>
      <w:shd w:color="auto" w:fill="bdd6ee" w:themeFill="accent5" w:themeFillTint="000066" w:val="clear"/>
      <w:spacing w:after="60" w:before="60"/>
      <w:jc w:val="both"/>
      <w:outlineLvl w:val="0"/>
    </w:pPr>
    <w:rPr>
      <w:b w:val="1"/>
      <w:bCs w:val="1"/>
      <w:lang w:bidi="ar-SA"/>
    </w:rPr>
  </w:style>
  <w:style w:type="paragraph" w:styleId="2">
    <w:name w:val="heading 2"/>
    <w:basedOn w:val="a"/>
    <w:next w:val="a"/>
    <w:link w:val="20"/>
    <w:uiPriority w:val="9"/>
    <w:unhideWhenUsed w:val="1"/>
    <w:qFormat w:val="1"/>
    <w:rsid w:val="00AF1A77"/>
    <w:pPr>
      <w:shd w:color="auto" w:fill="9cc2e5" w:themeFill="accent5" w:themeFillTint="000099" w:val="clear"/>
      <w:spacing w:after="60" w:before="60"/>
      <w:outlineLvl w:val="1"/>
    </w:pPr>
    <w:rPr>
      <w:b w:val="1"/>
      <w:bCs w:val="1"/>
      <w:lang w:bidi="ar-SA"/>
    </w:rPr>
  </w:style>
  <w:style w:type="paragraph" w:styleId="3">
    <w:name w:val="heading 3"/>
    <w:basedOn w:val="a"/>
    <w:next w:val="a"/>
    <w:link w:val="30"/>
    <w:uiPriority w:val="9"/>
    <w:unhideWhenUsed w:val="1"/>
    <w:qFormat w:val="1"/>
    <w:pPr>
      <w:widowControl w:val="1"/>
      <w:spacing w:after="60" w:before="60"/>
      <w:jc w:val="both"/>
      <w:outlineLvl w:val="2"/>
    </w:pPr>
    <w:rPr>
      <w:rFonts w:ascii="Arial" w:cs="Arial" w:hAnsi="Arial"/>
      <w:b w:val="1"/>
      <w:bCs w:val="1"/>
      <w:color w:val="2f5496"/>
      <w:u w:val="single"/>
    </w:rPr>
  </w:style>
  <w:style w:type="paragraph" w:styleId="4">
    <w:name w:val="heading 4"/>
    <w:basedOn w:val="a"/>
    <w:next w:val="a"/>
    <w:link w:val="40"/>
    <w:uiPriority w:val="9"/>
    <w:semiHidden w:val="1"/>
    <w:unhideWhenUsed w:val="1"/>
    <w:qFormat w:val="1"/>
    <w:pPr>
      <w:ind w:left="146"/>
      <w:outlineLvl w:val="3"/>
    </w:pPr>
    <w:rPr>
      <w:rFonts w:ascii="EC Square Sans Pro Light" w:cs="EC Square Sans Pro Light" w:hAnsi="EC Square Sans Pro Light"/>
      <w:sz w:val="30"/>
      <w:szCs w:val="30"/>
    </w:rPr>
  </w:style>
  <w:style w:type="paragraph" w:styleId="5">
    <w:name w:val="heading 5"/>
    <w:basedOn w:val="a"/>
    <w:next w:val="a"/>
    <w:link w:val="50"/>
    <w:uiPriority w:val="9"/>
    <w:semiHidden w:val="1"/>
    <w:unhideWhenUsed w:val="1"/>
    <w:qFormat w:val="1"/>
    <w:pPr>
      <w:ind w:left="833"/>
      <w:outlineLvl w:val="4"/>
    </w:pPr>
    <w:rPr>
      <w:rFonts w:ascii="Times New Roman" w:cs="Times New Roman" w:hAnsi="Times New Roman"/>
      <w:b w:val="1"/>
      <w:bCs w:val="1"/>
      <w:sz w:val="24"/>
      <w:szCs w:val="24"/>
    </w:rPr>
  </w:style>
  <w:style w:type="paragraph" w:styleId="6">
    <w:name w:val="heading 6"/>
    <w:basedOn w:val="a"/>
    <w:next w:val="a"/>
    <w:link w:val="60"/>
    <w:uiPriority w:val="9"/>
    <w:semiHidden w:val="1"/>
    <w:unhideWhenUsed w:val="1"/>
    <w:qFormat w:val="1"/>
    <w:pPr>
      <w:ind w:left="833"/>
      <w:outlineLvl w:val="5"/>
    </w:pPr>
    <w:rPr>
      <w:rFonts w:ascii="Times New Roman" w:cs="Times New Roman" w:hAnsi="Times New Roman"/>
      <w:b w:val="1"/>
      <w:bCs w:val="1"/>
      <w:i w:val="1"/>
      <w:iCs w:val="1"/>
      <w:sz w:val="24"/>
      <w:szCs w:val="24"/>
    </w:rPr>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table" w:styleId="TableNormal1" w:customStyle="1">
    <w:name w:val="Table Normal1"/>
    <w:tblPr>
      <w:tblCellMar>
        <w:top w:w="0.0" w:type="dxa"/>
        <w:left w:w="0.0" w:type="dxa"/>
        <w:bottom w:w="0.0" w:type="dxa"/>
        <w:right w:w="0.0" w:type="dxa"/>
      </w:tblCellMar>
    </w:tblPr>
  </w:style>
  <w:style w:type="paragraph" w:styleId="a3">
    <w:name w:val="Title"/>
    <w:basedOn w:val="a"/>
    <w:link w:val="a4"/>
    <w:uiPriority w:val="10"/>
    <w:qFormat w:val="1"/>
    <w:rsid w:val="00A74913"/>
    <w:pPr>
      <w:widowControl w:val="1"/>
      <w:spacing w:after="160" w:line="259" w:lineRule="auto"/>
      <w:jc w:val="center"/>
    </w:pPr>
    <w:rPr>
      <w:b w:val="1"/>
      <w:bCs w:val="1"/>
      <w:lang w:bidi="ar-SA"/>
    </w:rPr>
  </w:style>
  <w:style w:type="character" w:styleId="20" w:customStyle="1">
    <w:name w:val="כותרת 2 תו"/>
    <w:basedOn w:val="a0"/>
    <w:link w:val="2"/>
    <w:uiPriority w:val="9"/>
    <w:locked w:val="1"/>
    <w:rsid w:val="00AF1A77"/>
    <w:rPr>
      <w:rFonts w:ascii="Calibri" w:cs="Calibri" w:hAnsi="Calibri"/>
      <w:b w:val="1"/>
      <w:bCs w:val="1"/>
      <w:color w:val="000000"/>
      <w:shd w:color="auto" w:fill="9cc2e5" w:themeFill="accent5" w:themeFillTint="000099" w:val="clear"/>
      <w:lang w:bidi="ar-SA" w:eastAsia="en-US" w:val="en-US"/>
    </w:rPr>
  </w:style>
  <w:style w:type="character" w:styleId="30" w:customStyle="1">
    <w:name w:val="כותרת 3 תו"/>
    <w:basedOn w:val="a0"/>
    <w:link w:val="3"/>
    <w:uiPriority w:val="9"/>
    <w:semiHidden w:val="1"/>
    <w:locked w:val="1"/>
    <w:rPr>
      <w:rFonts w:cs="Times New Roman" w:asciiTheme="majorHAnsi" w:eastAsiaTheme="majorEastAsia" w:hAnsiTheme="majorHAnsi"/>
      <w:b w:val="1"/>
      <w:bCs w:val="1"/>
      <w:color w:val="000000"/>
      <w:sz w:val="26"/>
      <w:szCs w:val="26"/>
    </w:rPr>
  </w:style>
  <w:style w:type="character" w:styleId="40" w:customStyle="1">
    <w:name w:val="כותרת 4 תו"/>
    <w:basedOn w:val="a0"/>
    <w:link w:val="4"/>
    <w:uiPriority w:val="9"/>
    <w:semiHidden w:val="1"/>
    <w:locked w:val="1"/>
    <w:rPr>
      <w:rFonts w:cs="Arial" w:asciiTheme="minorHAnsi" w:eastAsiaTheme="minorEastAsia" w:hAnsiTheme="minorHAnsi"/>
      <w:b w:val="1"/>
      <w:bCs w:val="1"/>
      <w:color w:val="000000"/>
      <w:sz w:val="28"/>
      <w:szCs w:val="28"/>
    </w:rPr>
  </w:style>
  <w:style w:type="character" w:styleId="50" w:customStyle="1">
    <w:name w:val="כותרת 5 תו"/>
    <w:basedOn w:val="a0"/>
    <w:link w:val="5"/>
    <w:uiPriority w:val="9"/>
    <w:semiHidden w:val="1"/>
    <w:locked w:val="1"/>
    <w:rPr>
      <w:rFonts w:cs="Arial" w:asciiTheme="minorHAnsi" w:eastAsiaTheme="minorEastAsia" w:hAnsiTheme="minorHAnsi"/>
      <w:b w:val="1"/>
      <w:bCs w:val="1"/>
      <w:i w:val="1"/>
      <w:iCs w:val="1"/>
      <w:color w:val="000000"/>
      <w:sz w:val="26"/>
      <w:szCs w:val="26"/>
    </w:rPr>
  </w:style>
  <w:style w:type="character" w:styleId="60" w:customStyle="1">
    <w:name w:val="כותרת 6 תו"/>
    <w:basedOn w:val="a0"/>
    <w:link w:val="6"/>
    <w:uiPriority w:val="9"/>
    <w:semiHidden w:val="1"/>
    <w:locked w:val="1"/>
    <w:rPr>
      <w:rFonts w:cs="Arial" w:asciiTheme="minorHAnsi" w:eastAsiaTheme="minorEastAsia" w:hAnsiTheme="minorHAnsi"/>
      <w:b w:val="1"/>
      <w:bCs w:val="1"/>
      <w:color w:val="000000"/>
    </w:rPr>
  </w:style>
  <w:style w:type="character" w:styleId="10" w:customStyle="1">
    <w:name w:val="כותרת 1 תו"/>
    <w:basedOn w:val="a0"/>
    <w:link w:val="1"/>
    <w:uiPriority w:val="9"/>
    <w:locked w:val="1"/>
    <w:rsid w:val="00A74913"/>
    <w:rPr>
      <w:rFonts w:ascii="Calibri" w:cs="Calibri" w:hAnsi="Calibri"/>
      <w:b w:val="1"/>
      <w:bCs w:val="1"/>
      <w:color w:val="000000"/>
      <w:shd w:color="auto" w:fill="bdd6ee" w:themeFill="accent5" w:themeFillTint="000066" w:val="clear"/>
      <w:lang w:bidi="ar-SA" w:eastAsia="en-US" w:val="en-US"/>
    </w:rPr>
  </w:style>
  <w:style w:type="paragraph" w:styleId="a5">
    <w:name w:val="Subtitle"/>
    <w:basedOn w:val="a"/>
    <w:next w:val="a"/>
    <w:link w:val="a6"/>
    <w:uiPriority w:val="11"/>
    <w:qFormat w:val="1"/>
    <w:pPr>
      <w:keepNext w:val="1"/>
      <w:keepLines w:val="1"/>
      <w:spacing w:after="80" w:before="360"/>
    </w:pPr>
    <w:rPr>
      <w:rFonts w:ascii="Georgia" w:cs="Georgia" w:eastAsia="Georgia" w:hAnsi="Georgia"/>
      <w:i w:val="1"/>
      <w:color w:val="666666"/>
      <w:sz w:val="48"/>
      <w:szCs w:val="48"/>
    </w:rPr>
  </w:style>
  <w:style w:type="character" w:styleId="a4" w:customStyle="1">
    <w:name w:val="כותרת טקסט תו"/>
    <w:basedOn w:val="a0"/>
    <w:link w:val="a3"/>
    <w:uiPriority w:val="10"/>
    <w:locked w:val="1"/>
    <w:rsid w:val="00A74913"/>
    <w:rPr>
      <w:rFonts w:ascii="Calibri" w:cs="Calibri" w:hAnsi="Calibri"/>
      <w:b w:val="1"/>
      <w:bCs w:val="1"/>
      <w:color w:val="000000"/>
      <w:lang w:bidi="ar-SA" w:eastAsia="en-US" w:val="en-US"/>
    </w:rPr>
  </w:style>
  <w:style w:type="character" w:styleId="a7">
    <w:name w:val="annotation reference"/>
    <w:basedOn w:val="a0"/>
    <w:uiPriority w:val="99"/>
    <w:rPr>
      <w:rFonts w:cs="Times New Roman"/>
      <w:sz w:val="16"/>
      <w:szCs w:val="16"/>
    </w:rPr>
  </w:style>
  <w:style w:type="character" w:styleId="a6" w:customStyle="1">
    <w:name w:val="כותרת משנה תו"/>
    <w:basedOn w:val="a0"/>
    <w:link w:val="a5"/>
    <w:uiPriority w:val="11"/>
    <w:locked w:val="1"/>
    <w:rPr>
      <w:rFonts w:cs="Times New Roman" w:asciiTheme="majorHAnsi" w:eastAsiaTheme="majorEastAsia" w:hAnsiTheme="majorHAnsi"/>
      <w:color w:val="000000"/>
      <w:sz w:val="24"/>
      <w:szCs w:val="24"/>
    </w:rPr>
  </w:style>
  <w:style w:type="character" w:styleId="a8">
    <w:name w:val="footnote reference"/>
    <w:basedOn w:val="a0"/>
    <w:uiPriority w:val="99"/>
    <w:rPr>
      <w:rFonts w:cs="Times New Roman"/>
      <w:vertAlign w:val="superscript"/>
    </w:rPr>
  </w:style>
  <w:style w:type="paragraph" w:styleId="a9">
    <w:name w:val="footnote text"/>
    <w:basedOn w:val="a"/>
    <w:link w:val="aa"/>
    <w:uiPriority w:val="99"/>
    <w:rPr>
      <w:sz w:val="20"/>
      <w:szCs w:val="20"/>
    </w:rPr>
  </w:style>
  <w:style w:type="paragraph" w:styleId="ab">
    <w:name w:val="Revision"/>
    <w:hidden w:val="1"/>
    <w:uiPriority w:val="99"/>
    <w:semiHidden w:val="1"/>
    <w:locked w:val="1"/>
    <w:rsid w:val="00985A08"/>
    <w:rPr>
      <w:color w:val="000000"/>
    </w:rPr>
  </w:style>
  <w:style w:type="character" w:styleId="aa" w:customStyle="1">
    <w:name w:val="טקסט הערת שוליים תו"/>
    <w:basedOn w:val="a0"/>
    <w:link w:val="a9"/>
    <w:uiPriority w:val="99"/>
    <w:semiHidden w:val="1"/>
    <w:locked w:val="1"/>
    <w:rPr>
      <w:rFonts w:ascii="Calibri" w:cs="Calibri" w:hAnsi="Calibri"/>
      <w:color w:val="000000"/>
      <w:sz w:val="20"/>
      <w:szCs w:val="20"/>
    </w:rPr>
  </w:style>
  <w:style w:type="paragraph" w:styleId="ac">
    <w:name w:val="annotation text"/>
    <w:basedOn w:val="a"/>
    <w:link w:val="ad"/>
    <w:uiPriority w:val="99"/>
    <w:rsid w:val="003A7DFE"/>
    <w:rPr>
      <w:sz w:val="20"/>
      <w:szCs w:val="20"/>
    </w:rPr>
  </w:style>
  <w:style w:type="paragraph" w:styleId="ae">
    <w:name w:val="annotation subject"/>
    <w:basedOn w:val="ac"/>
    <w:next w:val="ac"/>
    <w:link w:val="af"/>
    <w:uiPriority w:val="99"/>
    <w:rsid w:val="003A7DFE"/>
    <w:rPr>
      <w:b w:val="1"/>
      <w:bCs w:val="1"/>
    </w:rPr>
  </w:style>
  <w:style w:type="character" w:styleId="ad" w:customStyle="1">
    <w:name w:val="טקסט הערה תו"/>
    <w:basedOn w:val="a0"/>
    <w:link w:val="ac"/>
    <w:uiPriority w:val="99"/>
    <w:locked w:val="1"/>
    <w:rsid w:val="003A7DFE"/>
    <w:rPr>
      <w:rFonts w:ascii="Calibri" w:cs="Calibri" w:hAnsi="Calibri"/>
      <w:color w:val="000000"/>
      <w:sz w:val="20"/>
      <w:szCs w:val="20"/>
    </w:rPr>
  </w:style>
  <w:style w:type="paragraph" w:styleId="spacer" w:customStyle="1">
    <w:name w:val="spacer"/>
    <w:link w:val="spacerChar"/>
    <w:qFormat w:val="1"/>
    <w:rsid w:val="00AF1A77"/>
    <w:pPr>
      <w:spacing w:line="60" w:lineRule="exact"/>
    </w:pPr>
    <w:rPr>
      <w:color w:val="000000"/>
      <w:lang w:bidi="ar-SA"/>
    </w:rPr>
  </w:style>
  <w:style w:type="character" w:styleId="af" w:customStyle="1">
    <w:name w:val="נושא הערה תו"/>
    <w:basedOn w:val="ad"/>
    <w:link w:val="ae"/>
    <w:uiPriority w:val="99"/>
    <w:locked w:val="1"/>
    <w:rsid w:val="003A7DFE"/>
    <w:rPr>
      <w:rFonts w:ascii="Calibri" w:cs="Calibri" w:hAnsi="Calibri"/>
      <w:b w:val="1"/>
      <w:bCs w:val="1"/>
      <w:color w:val="000000"/>
      <w:sz w:val="20"/>
      <w:szCs w:val="20"/>
    </w:rPr>
  </w:style>
  <w:style w:type="character" w:styleId="spacerChar" w:customStyle="1">
    <w:name w:val="spacer Char"/>
    <w:basedOn w:val="a0"/>
    <w:link w:val="spacer"/>
    <w:locked w:val="1"/>
    <w:rsid w:val="00AF1A77"/>
    <w:rPr>
      <w:rFonts w:ascii="Calibri" w:cs="Calibri" w:hAnsi="Calibri"/>
      <w:color w:val="000000"/>
      <w:lang w:bidi="ar-SA" w:eastAsia="x-none" w:val="en-US"/>
    </w:rPr>
  </w:style>
  <w:style w:type="paragraph" w:styleId="NormalWeb">
    <w:name w:val="Normal (Web)"/>
    <w:basedOn w:val="a"/>
    <w:uiPriority w:val="99"/>
    <w:unhideWhenUsed w:val="1"/>
    <w:rsid w:val="00AC29D8"/>
    <w:pPr>
      <w:widowControl w:val="1"/>
      <w:spacing w:after="100" w:afterAutospacing="1" w:before="100" w:beforeAutospacing="1"/>
    </w:pPr>
    <w:rPr>
      <w:rFonts w:ascii="Times New Roman" w:cs="Times New Roman" w:hAnsi="Times New Roman"/>
      <w:color w:val="auto"/>
      <w:sz w:val="24"/>
      <w:szCs w:val="24"/>
    </w:rPr>
  </w:style>
  <w:style w:type="character" w:styleId="af0">
    <w:name w:val="Emphasis"/>
    <w:basedOn w:val="a0"/>
    <w:uiPriority w:val="20"/>
    <w:qFormat w:val="1"/>
    <w:locked w:val="1"/>
    <w:rsid w:val="005908A9"/>
    <w:rPr>
      <w:i w:val="1"/>
      <w:iCs w:val="1"/>
    </w:rPr>
  </w:style>
  <w:style w:type="paragraph" w:styleId="af1">
    <w:name w:val="Balloon Text"/>
    <w:basedOn w:val="a"/>
    <w:link w:val="af2"/>
    <w:rsid w:val="00162DDA"/>
    <w:rPr>
      <w:rFonts w:ascii="Segoe UI" w:cs="Segoe UI" w:hAnsi="Segoe UI"/>
      <w:sz w:val="18"/>
      <w:szCs w:val="18"/>
    </w:rPr>
  </w:style>
  <w:style w:type="character" w:styleId="af2" w:customStyle="1">
    <w:name w:val="טקסט בלונים תו"/>
    <w:basedOn w:val="a0"/>
    <w:link w:val="af1"/>
    <w:rsid w:val="00162DDA"/>
    <w:rPr>
      <w:rFonts w:ascii="Segoe UI" w:cs="Segoe UI" w:hAnsi="Segoe UI"/>
      <w:color w:val="000000"/>
      <w:sz w:val="18"/>
      <w:szCs w:val="18"/>
    </w:rPr>
  </w:style>
  <w:style w:type="paragraph" w:styleId="af3">
    <w:name w:val="header"/>
    <w:basedOn w:val="a"/>
    <w:link w:val="af4"/>
    <w:rsid w:val="00162DDA"/>
    <w:pPr>
      <w:tabs>
        <w:tab w:val="center" w:pos="4513"/>
        <w:tab w:val="right" w:pos="9026"/>
      </w:tabs>
    </w:pPr>
  </w:style>
  <w:style w:type="character" w:styleId="af4" w:customStyle="1">
    <w:name w:val="כותרת עליונה תו"/>
    <w:basedOn w:val="a0"/>
    <w:link w:val="af3"/>
    <w:rsid w:val="00162DDA"/>
    <w:rPr>
      <w:rFonts w:ascii="Calibri" w:cs="Calibri" w:hAnsi="Calibri"/>
      <w:color w:val="000000"/>
    </w:rPr>
  </w:style>
  <w:style w:type="paragraph" w:styleId="af5">
    <w:name w:val="footer"/>
    <w:basedOn w:val="a"/>
    <w:link w:val="af6"/>
    <w:rsid w:val="00162DDA"/>
    <w:pPr>
      <w:tabs>
        <w:tab w:val="center" w:pos="4513"/>
        <w:tab w:val="right" w:pos="9026"/>
      </w:tabs>
    </w:pPr>
  </w:style>
  <w:style w:type="character" w:styleId="af6" w:customStyle="1">
    <w:name w:val="כותרת תחתונה תו"/>
    <w:basedOn w:val="a0"/>
    <w:link w:val="af5"/>
    <w:rsid w:val="00162DDA"/>
    <w:rPr>
      <w:rFonts w:ascii="Calibri" w:cs="Calibri" w:hAnsi="Calibri"/>
      <w:color w:val="000000"/>
    </w:rPr>
  </w:style>
  <w:style w:type="table" w:styleId="16" w:customStyle="1">
    <w:name w:val="16"/>
    <w:basedOn w:val="TableNormal1"/>
    <w:tblPr>
      <w:tblStyleRowBandSize w:val="1"/>
      <w:tblStyleColBandSize w:val="1"/>
      <w:tblCellMar>
        <w:left w:w="115.0" w:type="dxa"/>
        <w:right w:w="115.0" w:type="dxa"/>
      </w:tblCellMar>
    </w:tblPr>
  </w:style>
  <w:style w:type="table" w:styleId="15" w:customStyle="1">
    <w:name w:val="15"/>
    <w:basedOn w:val="TableNormal1"/>
    <w:tblPr>
      <w:tblStyleRowBandSize w:val="1"/>
      <w:tblStyleColBandSize w:val="1"/>
      <w:tblCellMar>
        <w:left w:w="115.0" w:type="dxa"/>
        <w:right w:w="115.0" w:type="dxa"/>
      </w:tblCellMar>
    </w:tblPr>
  </w:style>
  <w:style w:type="table" w:styleId="14" w:customStyle="1">
    <w:name w:val="14"/>
    <w:basedOn w:val="TableNormal1"/>
    <w:tblPr>
      <w:tblStyleRowBandSize w:val="1"/>
      <w:tblStyleColBandSize w:val="1"/>
      <w:tblCellMar>
        <w:left w:w="115.0" w:type="dxa"/>
        <w:right w:w="115.0" w:type="dxa"/>
      </w:tblCellMar>
    </w:tblPr>
  </w:style>
  <w:style w:type="table" w:styleId="13" w:customStyle="1">
    <w:name w:val="13"/>
    <w:basedOn w:val="TableNormal1"/>
    <w:tblPr>
      <w:tblStyleRowBandSize w:val="1"/>
      <w:tblStyleColBandSize w:val="1"/>
      <w:tblCellMar>
        <w:left w:w="115.0" w:type="dxa"/>
        <w:right w:w="115.0" w:type="dxa"/>
      </w:tblCellMar>
    </w:tblPr>
  </w:style>
  <w:style w:type="table" w:styleId="12" w:customStyle="1">
    <w:name w:val="12"/>
    <w:basedOn w:val="TableNormal1"/>
    <w:tblPr>
      <w:tblStyleRowBandSize w:val="1"/>
      <w:tblStyleColBandSize w:val="1"/>
      <w:tblCellMar>
        <w:left w:w="115.0" w:type="dxa"/>
        <w:right w:w="115.0" w:type="dxa"/>
      </w:tblCellMar>
    </w:tblPr>
  </w:style>
  <w:style w:type="table" w:styleId="11" w:customStyle="1">
    <w:name w:val="11"/>
    <w:basedOn w:val="TableNormal1"/>
    <w:tblPr>
      <w:tblStyleRowBandSize w:val="1"/>
      <w:tblStyleColBandSize w:val="1"/>
      <w:tblCellMar>
        <w:left w:w="115.0" w:type="dxa"/>
        <w:right w:w="115.0" w:type="dxa"/>
      </w:tblCellMar>
    </w:tblPr>
  </w:style>
  <w:style w:type="table" w:styleId="100" w:customStyle="1">
    <w:name w:val="10"/>
    <w:basedOn w:val="TableNormal1"/>
    <w:tblPr>
      <w:tblStyleRowBandSize w:val="1"/>
      <w:tblStyleColBandSize w:val="1"/>
      <w:tblCellMar>
        <w:left w:w="115.0" w:type="dxa"/>
        <w:right w:w="115.0" w:type="dxa"/>
      </w:tblCellMar>
    </w:tblPr>
  </w:style>
  <w:style w:type="table" w:styleId="9" w:customStyle="1">
    <w:name w:val="9"/>
    <w:basedOn w:val="TableNormal1"/>
    <w:tblPr>
      <w:tblStyleRowBandSize w:val="1"/>
      <w:tblStyleColBandSize w:val="1"/>
      <w:tblCellMar>
        <w:left w:w="115.0" w:type="dxa"/>
        <w:right w:w="115.0" w:type="dxa"/>
      </w:tblCellMar>
    </w:tblPr>
  </w:style>
  <w:style w:type="table" w:styleId="8" w:customStyle="1">
    <w:name w:val="8"/>
    <w:basedOn w:val="TableNormal1"/>
    <w:tblPr>
      <w:tblStyleRowBandSize w:val="1"/>
      <w:tblStyleColBandSize w:val="1"/>
      <w:tblCellMar>
        <w:left w:w="115.0" w:type="dxa"/>
        <w:right w:w="115.0" w:type="dxa"/>
      </w:tblCellMar>
    </w:tblPr>
  </w:style>
  <w:style w:type="table" w:styleId="7" w:customStyle="1">
    <w:name w:val="7"/>
    <w:basedOn w:val="TableNormal1"/>
    <w:tblPr>
      <w:tblStyleRowBandSize w:val="1"/>
      <w:tblStyleColBandSize w:val="1"/>
      <w:tblCellMar>
        <w:left w:w="115.0" w:type="dxa"/>
        <w:right w:w="115.0" w:type="dxa"/>
      </w:tblCellMar>
    </w:tblPr>
  </w:style>
  <w:style w:type="table" w:styleId="61" w:customStyle="1">
    <w:name w:val="6"/>
    <w:basedOn w:val="TableNormal1"/>
    <w:tblPr>
      <w:tblStyleRowBandSize w:val="1"/>
      <w:tblStyleColBandSize w:val="1"/>
      <w:tblCellMar>
        <w:left w:w="115.0" w:type="dxa"/>
        <w:right w:w="115.0" w:type="dxa"/>
      </w:tblCellMar>
    </w:tblPr>
  </w:style>
  <w:style w:type="table" w:styleId="51" w:customStyle="1">
    <w:name w:val="5"/>
    <w:basedOn w:val="TableNormal1"/>
    <w:tblPr>
      <w:tblStyleRowBandSize w:val="1"/>
      <w:tblStyleColBandSize w:val="1"/>
      <w:tblCellMar>
        <w:left w:w="115.0" w:type="dxa"/>
        <w:right w:w="115.0" w:type="dxa"/>
      </w:tblCellMar>
    </w:tblPr>
  </w:style>
  <w:style w:type="table" w:styleId="41" w:customStyle="1">
    <w:name w:val="4"/>
    <w:basedOn w:val="TableNormal1"/>
    <w:tblPr>
      <w:tblStyleRowBandSize w:val="1"/>
      <w:tblStyleColBandSize w:val="1"/>
      <w:tblCellMar>
        <w:left w:w="115.0" w:type="dxa"/>
        <w:right w:w="115.0" w:type="dxa"/>
      </w:tblCellMar>
    </w:tblPr>
  </w:style>
  <w:style w:type="table" w:styleId="31" w:customStyle="1">
    <w:name w:val="3"/>
    <w:basedOn w:val="TableNormal1"/>
    <w:tblPr>
      <w:tblStyleRowBandSize w:val="1"/>
      <w:tblStyleColBandSize w:val="1"/>
      <w:tblCellMar>
        <w:left w:w="115.0" w:type="dxa"/>
        <w:right w:w="115.0" w:type="dxa"/>
      </w:tblCellMar>
    </w:tblPr>
  </w:style>
  <w:style w:type="table" w:styleId="21" w:customStyle="1">
    <w:name w:val="2"/>
    <w:basedOn w:val="TableNormal1"/>
    <w:tblPr>
      <w:tblStyleRowBandSize w:val="1"/>
      <w:tblStyleColBandSize w:val="1"/>
      <w:tblCellMar>
        <w:left w:w="115.0" w:type="dxa"/>
        <w:right w:w="115.0" w:type="dxa"/>
      </w:tblCellMar>
    </w:tblPr>
  </w:style>
  <w:style w:type="table" w:styleId="17" w:customStyle="1">
    <w:name w:val="1"/>
    <w:basedOn w:val="TableNormal1"/>
    <w:tblPr>
      <w:tblStyleRowBandSize w:val="1"/>
      <w:tblStyleColBandSize w:val="1"/>
      <w:tblCellMar>
        <w:left w:w="115.0" w:type="dxa"/>
        <w:right w:w="115.0" w:type="dxa"/>
      </w:tblCellMar>
    </w:tblPr>
  </w:style>
  <w:style w:type="paragraph" w:styleId="af7">
    <w:name w:val="List Paragraph"/>
    <w:aliases w:val="Dot pt,F5 List Paragraph,List Paragraph1,No Spacing1,List Paragraph Char Char Char,Indicator Text,Numbered Para 1,Bullet Points,MAIN CONTENT,List Paragraph12,Bullet 1,OBC Bullet,Colorful List - Accent 11,List Paragraph2,Task Body,Nad"/>
    <w:basedOn w:val="a"/>
    <w:link w:val="af8"/>
    <w:uiPriority w:val="34"/>
    <w:qFormat w:val="1"/>
    <w:rsid w:val="002C2390"/>
    <w:pPr>
      <w:ind w:left="720"/>
      <w:contextualSpacing w:val="1"/>
    </w:pPr>
  </w:style>
  <w:style w:type="table" w:styleId="af9">
    <w:name w:val="Table Grid"/>
    <w:basedOn w:val="a1"/>
    <w:uiPriority w:val="39"/>
    <w:rsid w:val="00AA0F6E"/>
    <w:pPr>
      <w:widowControl w:val="1"/>
    </w:pPr>
    <w:rPr>
      <w:rFonts w:cs="Times New Roman" w:eastAsia="Times New Roman"/>
      <w:sz w:val="20"/>
      <w:szCs w:val="20"/>
      <w:lang w:bidi="ar-SA" w:eastAsia="en-GB" w:val="en-GB"/>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afa">
    <w:name w:val="Strong"/>
    <w:basedOn w:val="a0"/>
    <w:uiPriority w:val="22"/>
    <w:qFormat w:val="1"/>
    <w:rsid w:val="008B4202"/>
    <w:rPr>
      <w:b w:val="1"/>
      <w:bCs w:val="1"/>
    </w:rPr>
  </w:style>
  <w:style w:type="character" w:styleId="Hyperlink">
    <w:name w:val="Hyperlink"/>
    <w:basedOn w:val="a0"/>
    <w:uiPriority w:val="99"/>
    <w:unhideWhenUsed w:val="1"/>
    <w:rsid w:val="00A93669"/>
    <w:rPr>
      <w:color w:val="0000ff"/>
      <w:u w:val="single"/>
    </w:rPr>
  </w:style>
  <w:style w:type="character" w:styleId="af8" w:customStyle="1">
    <w:name w:val="פיסקת רשימה תו"/>
    <w:aliases w:val="Dot pt תו,F5 List Paragraph תו,List Paragraph1 תו,No Spacing1 תו,List Paragraph Char Char Char תו,Indicator Text תו,Numbered Para 1 תו,Bullet Points תו,MAIN CONTENT תו,List Paragraph12 תו,Bullet 1 תו,OBC Bullet תו,List Paragraph2 תו"/>
    <w:basedOn w:val="a0"/>
    <w:link w:val="af7"/>
    <w:uiPriority w:val="34"/>
    <w:qFormat w:val="1"/>
    <w:locked w:val="1"/>
    <w:rsid w:val="00F87782"/>
    <w:rPr>
      <w:color w:val="000000"/>
    </w:rPr>
  </w:style>
  <w:style w:type="character" w:styleId="normaltextrun" w:customStyle="1">
    <w:name w:val="normaltextrun"/>
    <w:basedOn w:val="a0"/>
    <w:rsid w:val="00225A6F"/>
  </w:style>
  <w:style w:type="character" w:styleId="afb">
    <w:name w:val="Unresolved Mention"/>
    <w:basedOn w:val="a0"/>
    <w:uiPriority w:val="99"/>
    <w:semiHidden w:val="1"/>
    <w:unhideWhenUsed w:val="1"/>
    <w:rsid w:val="00A47EFF"/>
    <w:rPr>
      <w:color w:val="605e5c"/>
      <w:shd w:color="auto" w:fill="e1dfdd" w:val="clear"/>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2.png"/><Relationship Id="rId13" Type="http://schemas.openxmlformats.org/officeDocument/2006/relationships/header" Target="header2.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footer" Target="footer2.xml"/><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AtVrwi52tQ7fSLJF7qtihrC/Fug==">CgMxLjAyCWguMTdkcDh2dTIJaC4zcmRjcmpuMgloLjI2aW4xcmcyCGgubG54Yno5MgloLjM1bmt1bjI4AHIhMVZBUGhza05kYk1TVzB0Mks5Uk16Njl1WHhvVTRpNHpt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2024-09-18T12:28:00Z</dcterms:created>
  <dc:creator>Natalie Page</dc:creator>
</cp:coreProperties>
</file>