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AstraForge Brand Policy &amp; Technical Specification</w:t>
      </w:r>
    </w:p>
    <w:p>
      <w:r>
        <w:t>This document outlines official corporate brand and service level specifications.</w:t>
      </w:r>
    </w:p>
    <w:p>
      <w:pPr>
        <w:pStyle w:val="Heading2"/>
      </w:pPr>
      <w:r>
        <w:t>High-Availability Commitments</w:t>
      </w:r>
    </w:p>
    <w:p>
      <w:r>
        <w:t>Our infrastructure provides 99.95% verified uptime backed by real-time public status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Availability SLA</w:t>
            </w:r>
          </w:p>
        </w:tc>
        <w:tc>
          <w:tcPr>
            <w:tcW w:type="dxa" w:w="4320"/>
          </w:tcPr>
          <w:p>
            <w:r>
              <w:t>99.95% High Availability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