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54602" w14:textId="09CFE23C" w:rsidR="009C72AD" w:rsidRPr="00F372FF" w:rsidRDefault="00F372FF" w:rsidP="008F4A97">
      <w:pPr>
        <w:widowControl w:val="0"/>
        <w:autoSpaceDE w:val="0"/>
        <w:autoSpaceDN w:val="0"/>
        <w:adjustRightInd w:val="0"/>
        <w:spacing w:after="240" w:line="288" w:lineRule="auto"/>
        <w:rPr>
          <w:rFonts w:ascii="Arial" w:hAnsi="Arial" w:cs="Arial"/>
          <w:bCs/>
          <w:color w:val="000000"/>
          <w:sz w:val="22"/>
          <w:szCs w:val="22"/>
        </w:rPr>
      </w:pPr>
      <w:r>
        <w:rPr>
          <w:rFonts w:ascii="Arial" w:hAnsi="Arial" w:cs="Arial"/>
          <w:bCs/>
          <w:color w:val="000000"/>
          <w:sz w:val="22"/>
          <w:szCs w:val="22"/>
        </w:rPr>
        <w:t>[Title TBD]</w:t>
      </w:r>
    </w:p>
    <w:p w14:paraId="167B7732" w14:textId="330CB9D5" w:rsidR="009C72AD" w:rsidRPr="009C72AD" w:rsidRDefault="009C72AD" w:rsidP="008F4A97">
      <w:pPr>
        <w:widowControl w:val="0"/>
        <w:autoSpaceDE w:val="0"/>
        <w:autoSpaceDN w:val="0"/>
        <w:adjustRightInd w:val="0"/>
        <w:spacing w:after="240" w:line="288" w:lineRule="auto"/>
        <w:rPr>
          <w:rFonts w:ascii="Arial" w:hAnsi="Arial" w:cs="Arial"/>
          <w:bCs/>
          <w:color w:val="000000"/>
          <w:sz w:val="22"/>
          <w:szCs w:val="22"/>
        </w:rPr>
      </w:pPr>
      <w:r>
        <w:rPr>
          <w:rFonts w:ascii="Arial" w:hAnsi="Arial" w:cs="Arial"/>
          <w:bCs/>
          <w:color w:val="000000"/>
          <w:sz w:val="22"/>
          <w:szCs w:val="22"/>
        </w:rPr>
        <w:t xml:space="preserve">Grant Kinsler, Kerry </w:t>
      </w:r>
      <w:proofErr w:type="spellStart"/>
      <w:r>
        <w:rPr>
          <w:rFonts w:ascii="Arial" w:hAnsi="Arial" w:cs="Arial"/>
          <w:bCs/>
          <w:color w:val="000000"/>
          <w:sz w:val="22"/>
          <w:szCs w:val="22"/>
        </w:rPr>
        <w:t>Geiler-Samerotte</w:t>
      </w:r>
      <w:proofErr w:type="spellEnd"/>
      <w:r>
        <w:rPr>
          <w:rFonts w:ascii="Arial" w:hAnsi="Arial" w:cs="Arial"/>
          <w:bCs/>
          <w:color w:val="000000"/>
          <w:sz w:val="22"/>
          <w:szCs w:val="22"/>
        </w:rPr>
        <w:t xml:space="preserve">, Dmitri </w:t>
      </w:r>
      <w:proofErr w:type="spellStart"/>
      <w:proofErr w:type="gramStart"/>
      <w:r>
        <w:rPr>
          <w:rFonts w:ascii="Arial" w:hAnsi="Arial" w:cs="Arial"/>
          <w:bCs/>
          <w:color w:val="000000"/>
          <w:sz w:val="22"/>
          <w:szCs w:val="22"/>
        </w:rPr>
        <w:t>Petrov</w:t>
      </w:r>
      <w:proofErr w:type="spellEnd"/>
      <w:r w:rsidR="006E6CE4">
        <w:rPr>
          <w:rFonts w:ascii="Arial" w:hAnsi="Arial" w:cs="Arial"/>
          <w:bCs/>
          <w:color w:val="000000"/>
          <w:sz w:val="22"/>
          <w:szCs w:val="22"/>
        </w:rPr>
        <w:t xml:space="preserve">  -</w:t>
      </w:r>
      <w:proofErr w:type="gramEnd"/>
      <w:r w:rsidR="006E6CE4">
        <w:rPr>
          <w:rFonts w:ascii="Arial" w:hAnsi="Arial" w:cs="Arial"/>
          <w:bCs/>
          <w:color w:val="000000"/>
          <w:sz w:val="22"/>
          <w:szCs w:val="22"/>
        </w:rPr>
        <w:t xml:space="preserve"> [</w:t>
      </w:r>
      <w:proofErr w:type="spellStart"/>
      <w:r w:rsidR="006E6CE4">
        <w:rPr>
          <w:rFonts w:ascii="Arial" w:hAnsi="Arial" w:cs="Arial"/>
          <w:bCs/>
          <w:color w:val="000000"/>
          <w:sz w:val="22"/>
          <w:szCs w:val="22"/>
        </w:rPr>
        <w:t>chris</w:t>
      </w:r>
      <w:proofErr w:type="spellEnd"/>
      <w:r w:rsidR="006E6CE4">
        <w:rPr>
          <w:rFonts w:ascii="Arial" w:hAnsi="Arial" w:cs="Arial"/>
          <w:bCs/>
          <w:color w:val="000000"/>
          <w:sz w:val="22"/>
          <w:szCs w:val="22"/>
        </w:rPr>
        <w:t>?]</w:t>
      </w:r>
    </w:p>
    <w:p w14:paraId="17AC3A5D" w14:textId="77777777" w:rsidR="008F4A97" w:rsidRDefault="008F4A97" w:rsidP="008F4A97">
      <w:pPr>
        <w:widowControl w:val="0"/>
        <w:autoSpaceDE w:val="0"/>
        <w:autoSpaceDN w:val="0"/>
        <w:adjustRightInd w:val="0"/>
        <w:spacing w:after="240" w:line="288" w:lineRule="auto"/>
        <w:rPr>
          <w:rFonts w:ascii="Arial" w:hAnsi="Arial" w:cs="Arial"/>
          <w:b/>
          <w:bCs/>
          <w:color w:val="000000"/>
          <w:sz w:val="22"/>
          <w:szCs w:val="22"/>
        </w:rPr>
      </w:pPr>
      <w:r>
        <w:rPr>
          <w:rFonts w:ascii="Arial" w:hAnsi="Arial" w:cs="Arial"/>
          <w:b/>
          <w:bCs/>
          <w:color w:val="000000"/>
          <w:sz w:val="22"/>
          <w:szCs w:val="22"/>
        </w:rPr>
        <w:t>Introduction</w:t>
      </w:r>
    </w:p>
    <w:p w14:paraId="26AB2A68" w14:textId="6C42069D" w:rsidR="003E14F4" w:rsidRPr="003E14F4" w:rsidRDefault="003E14F4" w:rsidP="008F4A97">
      <w:pPr>
        <w:widowControl w:val="0"/>
        <w:autoSpaceDE w:val="0"/>
        <w:autoSpaceDN w:val="0"/>
        <w:adjustRightInd w:val="0"/>
        <w:spacing w:after="240" w:line="288" w:lineRule="auto"/>
        <w:rPr>
          <w:rFonts w:ascii="Arial" w:hAnsi="Arial" w:cs="Arial"/>
          <w:bCs/>
          <w:color w:val="000000"/>
          <w:sz w:val="22"/>
          <w:szCs w:val="22"/>
        </w:rPr>
      </w:pPr>
      <w:r>
        <w:rPr>
          <w:rFonts w:ascii="Arial" w:hAnsi="Arial" w:cs="Arial"/>
          <w:bCs/>
          <w:color w:val="000000"/>
          <w:sz w:val="22"/>
          <w:szCs w:val="22"/>
        </w:rPr>
        <w:t xml:space="preserve">[conceptual question – what’s a phenotype? How do we measure them? What </w:t>
      </w:r>
      <w:r>
        <w:rPr>
          <w:rFonts w:ascii="Arial" w:hAnsi="Arial" w:cs="Arial"/>
          <w:bCs/>
          <w:i/>
          <w:color w:val="000000"/>
          <w:sz w:val="22"/>
          <w:szCs w:val="22"/>
        </w:rPr>
        <w:t>matters</w:t>
      </w:r>
      <w:r>
        <w:rPr>
          <w:rFonts w:ascii="Arial" w:hAnsi="Arial" w:cs="Arial"/>
          <w:bCs/>
          <w:color w:val="000000"/>
          <w:sz w:val="22"/>
          <w:szCs w:val="22"/>
        </w:rPr>
        <w:t xml:space="preserve"> to fitness?]</w:t>
      </w:r>
    </w:p>
    <w:p w14:paraId="0C89AA83" w14:textId="3AEC1B2C" w:rsidR="000231B9" w:rsidRDefault="000231B9" w:rsidP="000231B9">
      <w:pPr>
        <w:widowControl w:val="0"/>
        <w:autoSpaceDE w:val="0"/>
        <w:autoSpaceDN w:val="0"/>
        <w:adjustRightInd w:val="0"/>
        <w:spacing w:after="240" w:line="288" w:lineRule="auto"/>
        <w:rPr>
          <w:rFonts w:ascii="Arial" w:hAnsi="Arial" w:cs="Arial"/>
          <w:color w:val="000000"/>
          <w:sz w:val="22"/>
          <w:szCs w:val="22"/>
        </w:rPr>
      </w:pPr>
      <w:bookmarkStart w:id="0" w:name="_GoBack"/>
      <w:bookmarkEnd w:id="0"/>
      <w:r>
        <w:rPr>
          <w:rFonts w:ascii="Arial" w:hAnsi="Arial" w:cs="Arial"/>
          <w:color w:val="000000"/>
          <w:sz w:val="22"/>
          <w:szCs w:val="22"/>
        </w:rPr>
        <w:t>One common framework used to model and understand phenotypic evolution is Fisher’s Geometric model</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"Fisher", "given" : "R. A.", "non-dropping-particle" : "", "parse-names" : false, "suffix" : "" } ], "id" : "ITEM-1", "issued" : { "date-parts" : [ [ "1930" ] ] }, "publisher" : "Oxford University Press", "publisher-place" : "Oxford", "title" : "The Genetical Theory of Natural Selection", "type" : "book" }, "uris" : [ "http://www.mendeley.com/documents/?uuid=93ac010c-07c1-4f7a-a76d-8c19e310753c" ] } ], "mendeley" : { "formattedCitation" : "(Fisher 1930)", "plainTextFormattedCitation" : "(Fisher 1930)", "previouslyFormattedCitation" : "(Fisher 1930)"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(Fisher 1930)</w:t>
      </w:r>
      <w:r>
        <w:rPr>
          <w:rFonts w:ascii="Arial" w:hAnsi="Arial" w:cs="Arial"/>
          <w:color w:val="000000"/>
          <w:sz w:val="22"/>
          <w:szCs w:val="22"/>
        </w:rPr>
        <w:fldChar w:fldCharType="end"/>
      </w:r>
      <w:r>
        <w:rPr>
          <w:rFonts w:ascii="Arial" w:hAnsi="Arial" w:cs="Arial"/>
          <w:color w:val="000000"/>
          <w:sz w:val="22"/>
          <w:szCs w:val="22"/>
        </w:rPr>
        <w:t xml:space="preserve"> </w:t>
      </w:r>
      <w:r w:rsidR="00F55574">
        <w:rPr>
          <w:rFonts w:ascii="Arial" w:hAnsi="Arial" w:cs="Arial"/>
          <w:color w:val="000000"/>
          <w:sz w:val="22"/>
          <w:szCs w:val="22"/>
        </w:rPr>
        <w:t xml:space="preserve">(see Fig 1A). In this model, traits </w:t>
      </w:r>
      <w:r>
        <w:rPr>
          <w:rFonts w:ascii="Arial" w:hAnsi="Arial" w:cs="Arial"/>
          <w:color w:val="000000"/>
          <w:sz w:val="22"/>
          <w:szCs w:val="22"/>
        </w:rPr>
        <w:t xml:space="preserve">are represented by orthogonal axes in a </w:t>
      </w:r>
      <w:r>
        <w:rPr>
          <w:rFonts w:ascii="Arial" w:hAnsi="Arial" w:cs="Arial"/>
          <w:i/>
          <w:color w:val="000000"/>
          <w:sz w:val="22"/>
          <w:szCs w:val="22"/>
        </w:rPr>
        <w:t>d</w:t>
      </w:r>
      <w:r>
        <w:rPr>
          <w:rFonts w:ascii="Arial" w:hAnsi="Arial" w:cs="Arial"/>
          <w:color w:val="000000"/>
          <w:sz w:val="22"/>
          <w:szCs w:val="22"/>
        </w:rPr>
        <w:t>-dimensional space, with the number of dimensions</w:t>
      </w:r>
      <w:r w:rsidR="00514E6A">
        <w:rPr>
          <w:rFonts w:ascii="Arial" w:hAnsi="Arial" w:cs="Arial"/>
          <w:color w:val="000000"/>
          <w:sz w:val="22"/>
          <w:szCs w:val="22"/>
        </w:rPr>
        <w:t>,</w:t>
      </w:r>
      <w:r>
        <w:rPr>
          <w:rFonts w:ascii="Arial" w:hAnsi="Arial" w:cs="Arial"/>
          <w:color w:val="000000"/>
          <w:sz w:val="22"/>
          <w:szCs w:val="22"/>
        </w:rPr>
        <w:t xml:space="preserve"> </w:t>
      </w:r>
      <w:r>
        <w:rPr>
          <w:rFonts w:ascii="Arial" w:hAnsi="Arial" w:cs="Arial"/>
          <w:i/>
          <w:color w:val="000000"/>
          <w:sz w:val="22"/>
          <w:szCs w:val="22"/>
        </w:rPr>
        <w:t>d</w:t>
      </w:r>
      <w:r w:rsidR="00514E6A">
        <w:rPr>
          <w:rFonts w:ascii="Arial" w:hAnsi="Arial" w:cs="Arial"/>
          <w:i/>
          <w:color w:val="000000"/>
          <w:sz w:val="22"/>
          <w:szCs w:val="22"/>
        </w:rPr>
        <w:t>,</w:t>
      </w:r>
      <w:r>
        <w:rPr>
          <w:rFonts w:ascii="Arial" w:hAnsi="Arial" w:cs="Arial"/>
          <w:color w:val="000000"/>
          <w:sz w:val="22"/>
          <w:szCs w:val="22"/>
        </w:rPr>
        <w:t xml:space="preserve"> indicating the number of </w:t>
      </w:r>
      <w:r w:rsidR="007E763A">
        <w:rPr>
          <w:rFonts w:ascii="Arial" w:hAnsi="Arial" w:cs="Arial"/>
          <w:color w:val="000000"/>
          <w:sz w:val="22"/>
          <w:szCs w:val="22"/>
        </w:rPr>
        <w:t>traits</w:t>
      </w:r>
      <w:r>
        <w:rPr>
          <w:rFonts w:ascii="Arial" w:hAnsi="Arial" w:cs="Arial"/>
          <w:color w:val="000000"/>
          <w:sz w:val="22"/>
          <w:szCs w:val="22"/>
        </w:rPr>
        <w:t xml:space="preserve"> that have independent contribution to fitness. Organisms are represented by points in this space, with their position determined by</w:t>
      </w:r>
      <w:r w:rsidR="00514E6A">
        <w:rPr>
          <w:rFonts w:ascii="Arial" w:hAnsi="Arial" w:cs="Arial"/>
          <w:color w:val="000000"/>
          <w:sz w:val="22"/>
          <w:szCs w:val="22"/>
        </w:rPr>
        <w:t xml:space="preserve"> their phenotype,</w:t>
      </w:r>
      <w:r>
        <w:rPr>
          <w:rFonts w:ascii="Arial" w:hAnsi="Arial" w:cs="Arial"/>
          <w:color w:val="000000"/>
          <w:sz w:val="22"/>
          <w:szCs w:val="22"/>
        </w:rPr>
        <w:t xml:space="preserve"> </w:t>
      </w:r>
      <w:r w:rsidR="00514E6A">
        <w:rPr>
          <w:rFonts w:ascii="Arial" w:hAnsi="Arial" w:cs="Arial"/>
          <w:color w:val="000000"/>
          <w:sz w:val="22"/>
          <w:szCs w:val="22"/>
        </w:rPr>
        <w:t xml:space="preserve">the organism’s particular </w:t>
      </w:r>
      <w:r>
        <w:rPr>
          <w:rFonts w:ascii="Arial" w:hAnsi="Arial" w:cs="Arial"/>
          <w:color w:val="000000"/>
          <w:sz w:val="22"/>
          <w:szCs w:val="22"/>
        </w:rPr>
        <w:t xml:space="preserve">combination of trait values. The fitness of an organism in a particular environment is determined by a function of the organism’s position and the position of the optimum combination of traits in that particular environment (hereafter “the optimum”). Any such function can be considered, but typically a simple Gaussian function is assumed for mathematical convenience, and has some empirically-supported properties, including diminishing-returns epistasis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"Visser", "given" : "J A G M", "non-dropping-particle" : "de", "parse-names" : false, "suffix" : "" }, { "dropping-particle" : "", "family" : "Zeyl", "given" : "C W", "non-dropping-particle" : "", "parse-names" : false, "suffix" : "" }, { "dropping-particle" : "", "family" : "Gerrish", "given" : "Phillip J", "non-dropping-particle" : "", "parse-names" : false, "suffix" : "" }, { "dropping-particle" : "", "family" : "Blanchard", "given" : "J L", "non-dropping-particle" : "", "parse-names" : false, "suffix" : "" }, { "dropping-particle" : "", "family" : "Lenski", "given" : "R E", "non-dropping-particle" : "", "parse-names" : false, "suffix" : "" } ], "container-title" : "Science", "id" : "ITEM-1", "issue" : "January", "issued" : { "date-parts" : [ [ "1999" ] ] }, "page" : "404-407", "title" : "Diminishing returns from mutation rate supply in asexual populations", "type" : "article-journal", "volume" : "283" }, "uris" : [ "http://www.mendeley.com/documents/?uuid=80290c95-1a55-445b-90fa-fc2de1699ad7" ] }, { "id" : "ITEM-2", "itemData" : { "DOI" : "10.1126/science.1203799", "ISSN" : "0036-8075", "PMID" : "21636771", "abstract" : "Epistasis has substantial impacts on evolution, in particular, the rate of adaptation. We generated combinations of beneficial mutations that arose in a lineage during rapid adaptation of a bacterium whose growth depended on a newly introduced metabolic pathway. The proportional selective benefit for three of the four loci consistently decreased when they were introduced onto more fit backgrounds. These three alleles all reduced morphological defects caused by expression of the foreign pathway. A simple theoretical model segregating the apparent contribution of individual alleles to benefits and costs effectively predicted the interactions between them. These results provide the first evidence that patterns of epistasis may differ for within- and between-gene interactions during adaptation and that diminishing returns epistasis contributes to the consistent observation of decelerating fitness gains during adaptation.", "author" : [ { "dropping-particle" : "", "family" : "Chou", "given" : "H.-H.", "non-dropping-particle" : "", "parse-names" : false, "suffix" : "" }, { "dropping-particle" : "", "family" : "Chiu", "given" : "H.-C.", "non-dropping-particle" : "", "parse-names" : false, "suffix" : "" }, { "dropping-particle" : "", "family" : "Delaney", "given" : "N. F.", "non-dropping-particle" : "", "parse-names" : false, "suffix" : "" }, { "dropping-particle" : "", "family" : "Segre", "given" : "D.", "non-dropping-particle" : "", "parse-names" : false, "suffix" : "" }, { "dropping-particle" : "", "family" : "Marx", "given" : "C. J.", "non-dropping-particle" : "", "parse-names" : false, "suffix" : "" }, { "dropping-particle" : "", "family" : "Long", "given" : "Anthony D.", "non-dropping-particle" : "", "parse-names" : false, "suffix" : "" }, { "dropping-particle" : "", "family" : "Gaut", "given" : "Brandon S.", "non-dropping-particle" : "", "parse-names" : false, "suffix" : "" } ], "container-title" : "Science", "id" : "ITEM-2", "issue" : "6034", "issued" : { "date-parts" : [ [ "2011" ] ] }, "page" : "1190-1192", "title" : "Diminishing Returns Epistasis Among Beneficial Mutations Decelerates Adaptation", "type" : "article-journal", "volume" : "332" }, "uris" : [ "http://www.mendeley.com/documents/?uuid=c4e68b54-f3c1-4ffa-a301-5eccc4c3d6b1" ] } ], "mendeley" : { "formattedCitation" : "(de Visser et al. 1999; Chou et al. 2011)", "plainTextFormattedCitation" : "(de Visser et al. 1999; Chou et al. 2011)", "previouslyFormattedCitation" : "(de Visser et al. 1999; Chou et al. 2011)"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(de Visser et al. 1999; Chou et al. 2011)</w:t>
      </w:r>
      <w:r>
        <w:rPr>
          <w:rFonts w:ascii="Arial" w:hAnsi="Arial" w:cs="Arial"/>
          <w:color w:val="000000"/>
          <w:sz w:val="22"/>
          <w:szCs w:val="22"/>
        </w:rPr>
        <w:fldChar w:fldCharType="end"/>
      </w:r>
      <w:r>
        <w:rPr>
          <w:rFonts w:ascii="Arial" w:hAnsi="Arial" w:cs="Arial"/>
          <w:color w:val="000000"/>
          <w:sz w:val="22"/>
          <w:szCs w:val="22"/>
        </w:rPr>
        <w:t xml:space="preserve"> (but see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"Wiser", "given" : "Michael J", "non-dropping-particle" : "", "parse-names" : false, "suffix" : "" }, { "dropping-particle" : "", "family" : "Ribeck", "given" : "Noah", "non-dropping-particle" : "", "parse-names" : false, "suffix" : "" }, { "dropping-particle" : "", "family" : "Lenski", "given" : "Richard E.", "non-dropping-particle" : "", "parse-names" : false, "suffix" : "" } ], "container-title" : "Science", "id" : "ITEM-1", "issue" : "6164", "issued" : { "date-parts" : [ [ "2013" ] ] }, "page" : "1364-1367", "title" : "Long-Term Dynamics of Adaptation in Asexual Populations", "type" : "article-journal", "volume" : "342" }, "uris" : [ "http://www.mendeley.com/documents/?uuid=4c672aa6-1dc2-4481-a488-e4f5e1248739" ] } ], "mendeley" : { "formattedCitation" : "(Wiser et al. 2013)", "plainTextFormattedCitation" : "(Wiser et al. 2013)", "previouslyFormattedCitation" : "(Wiser et al. 2013)"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(Wiser et al. 2013)</w:t>
      </w:r>
      <w:r>
        <w:rPr>
          <w:rFonts w:ascii="Arial" w:hAnsi="Arial" w:cs="Arial"/>
          <w:color w:val="000000"/>
          <w:sz w:val="22"/>
          <w:szCs w:val="22"/>
        </w:rPr>
        <w:fldChar w:fldCharType="end"/>
      </w:r>
      <w:r>
        <w:rPr>
          <w:rFonts w:ascii="Arial" w:hAnsi="Arial" w:cs="Arial"/>
          <w:color w:val="000000"/>
          <w:sz w:val="22"/>
          <w:szCs w:val="22"/>
        </w:rPr>
        <w:t xml:space="preserve">). Thus, evolution can be seen as proceeding through “adaptive walks” from an ancestral organism that occupies some location in phenotype space. Genetic mutations can cause phenotypic changes, moving the mutant to a new location in this space. If this new location is favored by the fitness function, then it may increase in frequency and give rise to additional mutations. </w:t>
      </w:r>
    </w:p>
    <w:p w14:paraId="185F247B" w14:textId="62902DCD" w:rsidR="000231B9" w:rsidRDefault="000231B9"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Using this general framework, estimatin</w:t>
      </w:r>
      <w:r w:rsidR="00E53292">
        <w:rPr>
          <w:rFonts w:ascii="Arial" w:hAnsi="Arial" w:cs="Arial"/>
          <w:color w:val="000000"/>
          <w:sz w:val="22"/>
          <w:szCs w:val="22"/>
        </w:rPr>
        <w:t>g the number of independent traits</w:t>
      </w:r>
      <w:r>
        <w:rPr>
          <w:rFonts w:ascii="Arial" w:hAnsi="Arial" w:cs="Arial"/>
          <w:color w:val="000000"/>
          <w:sz w:val="22"/>
          <w:szCs w:val="22"/>
        </w:rPr>
        <w:t xml:space="preserve"> needed to explain the behavior </w:t>
      </w:r>
      <w:r w:rsidR="00944390">
        <w:rPr>
          <w:rFonts w:ascii="Arial" w:hAnsi="Arial" w:cs="Arial"/>
          <w:color w:val="000000"/>
          <w:sz w:val="22"/>
          <w:szCs w:val="22"/>
        </w:rPr>
        <w:t xml:space="preserve">of </w:t>
      </w:r>
      <w:r>
        <w:rPr>
          <w:rFonts w:ascii="Arial" w:hAnsi="Arial" w:cs="Arial"/>
          <w:color w:val="000000"/>
          <w:sz w:val="22"/>
          <w:szCs w:val="22"/>
        </w:rPr>
        <w:t>adaptive mutants is equivalent for estimating the number of dimensions in Fisher’s model. Previous work has aimed to measure the dimensionality of this space for mutations in general (and more specifically deleterious mutations), rather than the dimensionality of adaptation. These studies primarily fall into three categories. One class of methods derives the dimensionality of the space from the distribution of fitness effects</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"10.1111/j.0014-3820.2006.tb01169.x", "ISBN" : "0014-3820 (Print)\\r0014-3820 (Linking)", "ISSN" : "0014-3820", "PMID" : "16817531", "abstract" : "The evolution of complex organisms is a puzzle for evolutionary theory because beneficial mutations should be less frequent in complex organisms, an effect termed \"cost of complexity.\" However, little is known about how the distribution of mutation fitness effects (f(s)) varies across genomes. The main theoretical framework to address this issue is Fisher's geometric model and related phenotypic landscape models. However, it suffers from several restrictive assumptions. In this paper, we intend to show how several of these limitations may be overcome. We then propose a model of f(s) that extends Fisher's model to account for arbitrary mutational and selective interactions among n traits. We show that these interactions result in f(s) that would be predicted by a much smaller number of independent traits. We test our predictions by comparing empirical f(s) across species of various gene numbers as a surrogate to complexity. This survey reveals, as predicted, that mutations tend to be more deleterious, less variable, and less skewed in higher organisms. However, only limited difference in the shape of f(s) is observed from Escherichia coli to nematodes or fruit flies, a pattern consistent with a model of random phenotypic interactions across many traits. Overall, these results suggest that there may be a cost to phenotypic complexity although much weaker than previously suggested by earlier theoretical works. More generally, the model seems to qualitatively capture and possibly explain the variation of f(s) from lower to higher organisms, which opens a large array of potential applications in evolutionary genetics.", "author" : [ { "dropping-particle" : "", "family" : "Martin", "given" : "Guillaume", "non-dropping-particle" : "", "parse-names" : false, "suffix" : "" }, { "dropping-particle" : "", "family" : "Lenormand", "given" : "Thomas", "non-dropping-particle" : "", "parse-names" : false, "suffix" : "" } ], "container-title" : "Evolution; international journal of organic evolution", "id" : "ITEM-1", "issue" : "5", "issued" : { "date-parts" : [ [ "2006" ] ] }, "note" : "General summary: Use Fisher's Geomertic model to predict the distribution of fitness effects and use the DFE to estimate parameters of FGM, notably n_e (the effective number of dimensions if all contributed equally to fitness). Find ~1 effective dimension in yeast in MA lines.\n\nWhat's missing: The paper mostly assumes a stabilizing selection model in which the ancestral individual/population is at the fitness optimum (and all mutations are jumps from this optimum). The authors claim this could be used for general purpose and estimating far from the optimum, but requires the distance to the optimum (which requires extensive knowledge or a long term evolution experiment). But even this method requires the use of deleterious mutations to estimate n_e and lambda_e (the effective contribution of each trait to fitness). \n\nSimilarities: Using a transformed space such that all traits contribute equally to fitness (this may be a useful reference for why that's justified/other people who have done this). However, we do not necessarily assume uniform mutation space (I think).\n\nMethod: Since FGM needs uniform mutation and non-interacting selection components, the paper shows that you can take any set of positive semidefinite biased matrics M and S (basically requiring no mutation performing better than the optimum) and transform the resultant SM to a set of matrices where mutation is given by the Identity and the selection matrix is diagonal (with eigenvalues as the diagonal entries) that reflect the relative contribution of each &amp;quot;trait&amp;quot; in this transformed world.\n\nFrom this transformed space, you can infer the moments of the DFE. \n\nThis also gives you the power to go backwards, taking the moments and inferring elements of the transformed space (notably the moments of the distribution of eigenvalues number of traits).\n\nThe authors use n_e, which is the effective number of dimensions if all traits contributed equally to fitness.\n\nResults: From MA lines, empirical estimates of DFE and n_e for various species. n_e tends to modestly increase with gene count (they use as rough proxy for &amp;quot;complexity&amp;quot; - thus claiming that the cost of complexity, though present, is relatively weak). Moreover, for S. cerevisae, estimates between 0.89 and 1.78 for effective number of dimensions.\n\n\nQuestions: How should we think of &amp;quot;effective&amp;quot; number of dimensions? There's effectively one dimension (with reasonable effect) that's ever perturbed by mutation? What effect size is this sensitive too? Which values of $\\mu s$?", "page" : "893-907", "title" : "A general multivariate extension of Fisher's geometrical model and the distribution of mutation fitness effects across species.", "type" : "article-journal", "volume" : "60" }, "uris" : [ "http://www.mendeley.com/documents/?uuid=2a43856e-6691-45f3-bfdc-9055de1bd597" ] } ], "mendeley" : { "formattedCitation" : "(Martin &amp; Lenormand 2006)", "plainTextFormattedCitation" : "(Martin &amp; Lenormand 2006)", "previouslyFormattedCitation" : "(Martin &amp; Lenormand 2006)"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(Martin &amp; Lenormand 2006)</w:t>
      </w:r>
      <w:r>
        <w:rPr>
          <w:rFonts w:ascii="Arial" w:hAnsi="Arial" w:cs="Arial"/>
          <w:color w:val="000000"/>
          <w:sz w:val="22"/>
          <w:szCs w:val="22"/>
        </w:rPr>
        <w:fldChar w:fldCharType="end"/>
      </w:r>
      <w:r>
        <w:rPr>
          <w:rFonts w:ascii="Arial" w:hAnsi="Arial" w:cs="Arial"/>
          <w:color w:val="000000"/>
          <w:sz w:val="22"/>
          <w:szCs w:val="22"/>
        </w:rPr>
        <w:t xml:space="preserve"> (Fig 1B). Assuming the ancestor is at the optimum, a Gaussian mutation distribution in phenotype space, and a multivariate Gaussian distribution for the fitness function, Martin and </w:t>
      </w:r>
      <w:proofErr w:type="spellStart"/>
      <w:r>
        <w:rPr>
          <w:rFonts w:ascii="Arial" w:hAnsi="Arial" w:cs="Arial"/>
          <w:color w:val="000000"/>
          <w:sz w:val="22"/>
          <w:szCs w:val="22"/>
        </w:rPr>
        <w:t>Lenormand</w:t>
      </w:r>
      <w:proofErr w:type="spellEnd"/>
      <w:r>
        <w:rPr>
          <w:rFonts w:ascii="Arial" w:hAnsi="Arial" w:cs="Arial"/>
          <w:color w:val="000000"/>
          <w:sz w:val="22"/>
          <w:szCs w:val="22"/>
        </w:rPr>
        <w:t xml:space="preserve">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"10.1111/j.0014-3820.2006.tb01169.x", "ISBN" : "0014-3820 (Print)\\r0014-3820 (Linking)", "ISSN" : "0014-3820", "PMID" : "16817531", "abstract" : "The evolution of complex organisms is a puzzle for evolutionary theory because beneficial mutations should be less frequent in complex organisms, an effect termed \"cost of complexity.\" However, little is known about how the distribution of mutation fitness effects (f(s)) varies across genomes. The main theoretical framework to address this issue is Fisher's geometric model and related phenotypic landscape models. However, it suffers from several restrictive assumptions. In this paper, we intend to show how several of these limitations may be overcome. We then propose a model of f(s) that extends Fisher's model to account for arbitrary mutational and selective interactions among n traits. We show that these interactions result in f(s) that would be predicted by a much smaller number of independent traits. We test our predictions by comparing empirical f(s) across species of various gene numbers as a surrogate to complexity. This survey reveals, as predicted, that mutations tend to be more deleterious, less variable, and less skewed in higher organisms. However, only limited difference in the shape of f(s) is observed from Escherichia coli to nematodes or fruit flies, a pattern consistent with a model of random phenotypic interactions across many traits. Overall, these results suggest that there may be a cost to phenotypic complexity although much weaker than previously suggested by earlier theoretical works. More generally, the model seems to qualitatively capture and possibly explain the variation of f(s) from lower to higher organisms, which opens a large array of potential applications in evolutionary genetics.", "author" : [ { "dropping-particle" : "", "family" : "Martin", "given" : "Guillaume", "non-dropping-particle" : "", "parse-names" : false, "suffix" : "" }, { "dropping-particle" : "", "family" : "Lenormand", "given" : "Thomas", "non-dropping-particle" : "", "parse-names" : false, "suffix" : "" } ], "container-title" : "Evolution; international journal of organic evolution", "id" : "ITEM-1", "issue" : "5", "issued" : { "date-parts" : [ [ "2006" ] ] }, "note" : "General summary: Use Fisher's Geomertic model to predict the distribution of fitness effects and use the DFE to estimate parameters of FGM, notably n_e (the effective number of dimensions if all contributed equally to fitness). Find ~1 effective dimension in yeast in MA lines.\n\nWhat's missing: The paper mostly assumes a stabilizing selection model in which the ancestral individual/population is at the fitness optimum (and all mutations are jumps from this optimum). The authors claim this could be used for general purpose and estimating far from the optimum, but requires the distance to the optimum (which requires extensive knowledge or a long term evolution experiment). But even this method requires the use of deleterious mutations to estimate n_e and lambda_e (the effective contribution of each trait to fitness). \n\nSimilarities: Using a transformed space such that all traits contribute equally to fitness (this may be a useful reference for why that's justified/other people who have done this). However, we do not necessarily assume uniform mutation space (I think).\n\nMethod: Since FGM needs uniform mutation and non-interacting selection components, the paper shows that you can take any set of positive semidefinite biased matrics M and S (basically requiring no mutation performing better than the optimum) and transform the resultant SM to a set of matrices where mutation is given by the Identity and the selection matrix is diagonal (with eigenvalues as the diagonal entries) that reflect the relative contribution of each &amp;quot;trait&amp;quot; in this transformed world.\n\nFrom this transformed space, you can infer the moments of the DFE. \n\nThis also gives you the power to go backwards, taking the moments and inferring elements of the transformed space (notably the moments of the distribution of eigenvalues number of traits).\n\nThe authors use n_e, which is the effective number of dimensions if all traits contributed equally to fitness.\n\nResults: From MA lines, empirical estimates of DFE and n_e for various species. n_e tends to modestly increase with gene count (they use as rough proxy for &amp;quot;complexity&amp;quot; - thus claiming that the cost of complexity, though present, is relatively weak). Moreover, for S. cerevisae, estimates between 0.89 and 1.78 for effective number of dimensions.\n\n\nQuestions: How should we think of &amp;quot;effective&amp;quot; number of dimensions? There's effectively one dimension (with reasonable effect) that's ever perturbed by mutation? What effect size is this sensitive too? Which values of $\\mu s$?", "page" : "893-907", "title" : "A general multivariate extension of Fisher's geometrical model and the distribution of mutation fitness effects across species.", "type" : "article-journal", "volume" : "60" }, "uris" : [ "http://www.mendeley.com/documents/?uuid=2a43856e-6691-45f3-bfdc-9055de1bd597" ] } ], "mendeley" : { "formattedCitation" : "(Martin &amp; Lenormand 2006)", "plainTextFormattedCitation" : "(Martin &amp; Lenormand 2006)", "previouslyFormattedCitation" : "(Martin &amp; Lenormand 2006)"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(Martin &amp; Lenormand 2006)</w:t>
      </w:r>
      <w:r>
        <w:rPr>
          <w:rFonts w:ascii="Arial" w:hAnsi="Arial" w:cs="Arial"/>
          <w:color w:val="000000"/>
          <w:sz w:val="22"/>
          <w:szCs w:val="22"/>
        </w:rPr>
        <w:fldChar w:fldCharType="end"/>
      </w:r>
      <w:r>
        <w:rPr>
          <w:rFonts w:ascii="Arial" w:hAnsi="Arial" w:cs="Arial"/>
          <w:color w:val="000000"/>
          <w:sz w:val="22"/>
          <w:szCs w:val="22"/>
        </w:rPr>
        <w:t xml:space="preserve"> derive the expected distribution of fitness effects (DFE) taking the form of a gamma distribution. One can then derive the effective dimensionality of the system utilizing the moments of the DFE. Using directed mutation and mutation-accumulation techniques, these methods find that phenotypic dimensionality is relatively low (less than three dimensions) for the model organisms considered. </w:t>
      </w:r>
    </w:p>
    <w:p w14:paraId="150741B4" w14:textId="77777777" w:rsidR="000231B9" w:rsidRDefault="000231B9"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A second class of methods uses drift load</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"10.1554/0014-3820(2000)054[1467:CFOLOM]2.0.CO;2", "ISBN" : "0014-3820 (Print)\\r0014-3820 (Linking)", "ISSN" : "0014-3820", "PMID" : "11108576", "abstract" : "We have investigated the reduction of fitness caused by the fixation of new deleterious mutations in small populations within the framework of Fisher's geometrical model of adaptation. In Fisher's model, a population evolves in an n-dimensional character space with an adaptive optimum at the origin. The model allows us to investigate compensatory mutations, which restore fitness losses incurred by other mutations, in a context-dependent manner. We have conducted a moment analysis of the model, supplemented by the numerical results of computer simulations. The mean reduction of fitness (i.e., expected load) scaled to one is approximately n/(n+2Ne), where Ne is the effective population size. The reciprocal relationship between the load and Ne implies that the fixation of deleterious mutations is unlikely to cause extinction when there is a broad scope for compensatory mutations, except in very small populations. Furthermore, the dependence of load on n implies that pleiotropy plays a large role in determining the extinction risk of small populations. Differences and similarities between our results and those of a previous study on the effects of Ne and n are explored. That the predictions of this model are qualitatively different from studies ignoring compensatory mutations implies that we must be cautious in predicting the evolutionary fate of small populations and that additional data on the nature of mutations is of critical importance.", "author" : [ { "dropping-particle" : "", "family" : "Poon", "given" : "Art", "non-dropping-particle" : "", "parse-names" : false, "suffix" : "" }, { "dropping-particle" : "", "family" : "Otto", "given" : "Sarah P", "non-dropping-particle" : "", "parse-names" : false, "suffix" : "" } ], "container-title" : "Evolution", "id" : "ITEM-1", "issue" : "5", "issued" : { "date-parts" : [ [ "2000" ] ] }, "page" : "1467-1479", "title" : "Compensating for our load of mutations: freezing the meltdown of small populations.", "type" : "article-journal", "volume" : "54" }, "uris" : [ "http://www.mendeley.com/documents/?uuid=0e69a115-3a0e-46a5-a9af-60ea595ce780" ] }, { "id" : "ITEM-2", "itemData" : { "DOI" : "10.1371/journal.pone.0000217", "ISBN" : "1932-6203 (Electronic)\\n1932-6203 (Linking)", "ISSN" : "19326203", "PMID" : "17299597", "abstract" : "BACKGROUND: Various definitions of biological complexity have been proposed: the number of genes, cell types, or metabolic processes within an organism. As knowledge of biological systems has increased, it has become apparent that these metrics are often incongruent.\\n\\nMETHODOLOGY: Here we propose an alternative complexity metric based on the number of genetically uncorrelated phenotypic traits contributing to an organism's fitness. This metric, phenotypic complexity, is more objective than previous suggestions, as complexity is measured from a fundamental biological perspective, that of natural selection. We utilize a model linking the equilibrium fitness (drift load) of a population to phenotypic complexity. We then use results from viral evolution experiments to compare the phenotypic complexities of two viruses, the bacteriophage X174 and vesicular stomatitis virus, and to illustrate the consistency of our approach and its applicability.\\n\\nCONCLUSIONS/SIGNIFICANCE: Because Darwinian evolution through natural selection is the fundamental element unifying all biological organisms, we propose that our metric of complexity is potentially a more relevant metric than others, based on the count of artificially defined set of objects.", "author" : [ { "dropping-particle" : "", "family" : "Tenaillon", "given" : "Olivier", "non-dropping-particle" : "", "parse-names" : false, "suffix" : "" }, { "dropping-particle" : "", "family" : "Silander", "given" : "Olin K.", "non-dropping-particle" : "", "parse-names" : false, "suffix" : "" }, { "dropping-particle" : "", "family" : "Uzan", "given" : "Jean Philippe", "non-dropping-particle" : "", "parse-names" : false, "suffix" : "" }, { "dropping-particle" : "", "family" : "Chao", "given" : "Lin", "non-dropping-particle" : "", "parse-names" : false, "suffix" : "" } ], "container-title" : "PLoS ONE", "id" : "ITEM-2", "issue" : "2", "issued" : { "date-parts" : [ [ "2007" ] ] }, "note" : "Try to quantify number of traits using drift load.", "title" : "Quantifying organismal complexity using a population genetic approach", "type" : "article-journal", "volume" : "2" }, "uris" : [ "http://www.mendeley.com/documents/?uuid=da47fe0b-0a4e-4786-a82d-8f4c17773f8a" ] } ], "mendeley" : { "formattedCitation" : "(Poon &amp; Otto 2000; Tenaillon et al. 2007)", "plainTextFormattedCitation" : "(Poon &amp; Otto 2000; Tenaillon et al. 2007)", "previouslyFormattedCitation" : "(Poon &amp; Otto 2000; Tenaillon et al. 2007)"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(Poon &amp; Otto 2000; Tenaillon et al. 2007)</w:t>
      </w:r>
      <w:r>
        <w:rPr>
          <w:rFonts w:ascii="Arial" w:hAnsi="Arial" w:cs="Arial"/>
          <w:color w:val="000000"/>
          <w:sz w:val="22"/>
          <w:szCs w:val="22"/>
        </w:rPr>
        <w:fldChar w:fldCharType="end"/>
      </w:r>
      <w:r>
        <w:rPr>
          <w:rFonts w:ascii="Arial" w:hAnsi="Arial" w:cs="Arial"/>
          <w:color w:val="000000"/>
          <w:sz w:val="22"/>
          <w:szCs w:val="22"/>
        </w:rPr>
        <w:t xml:space="preserve">. These also assume that populations are relatively close to the optimum, but instead explicitly use distance from an optimum as a metric to quantify the phenotypic dimensionality. Intuitively, this is accomplished by observing that large populations are able to effectively purge most deleterious mutations. However, small populations are unable to remove mildly deleterious mutations that </w:t>
      </w:r>
      <w:r>
        <w:rPr>
          <w:rFonts w:ascii="Arial" w:hAnsi="Arial" w:cs="Arial"/>
          <w:color w:val="000000"/>
          <w:sz w:val="22"/>
          <w:szCs w:val="22"/>
        </w:rPr>
        <w:lastRenderedPageBreak/>
        <w:t xml:space="preserve">drift to fixation, thus carrying a “drift load”. Moreover, the number of such deleterious mutations available to a population can be worked out as a function of the number of phenotypic dimensions, assuming some mutation distribution. Combining these relationships, this class of methods can then observe the fitness of populations across a gradient of effective population sizes to estimate the effective number of phenotypic dimensions. From this set of measurements, researchers found that there were relatively many dimensions (more than five) for the organisms observed. </w:t>
      </w:r>
    </w:p>
    <w:p w14:paraId="527040A6" w14:textId="3449E203" w:rsidR="000231B9" w:rsidRDefault="009B3EC5"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Attempting to reconcile the</w:t>
      </w:r>
      <w:r w:rsidR="000231B9">
        <w:rPr>
          <w:rFonts w:ascii="Arial" w:hAnsi="Arial" w:cs="Arial"/>
          <w:color w:val="000000"/>
          <w:sz w:val="22"/>
          <w:szCs w:val="22"/>
        </w:rPr>
        <w:t xml:space="preserve"> different measures of phenotypic dimensionally observed by the two classes of methods, Lourenco</w:t>
      </w:r>
      <w:r w:rsidR="000231B9">
        <w:rPr>
          <w:rFonts w:ascii="Arial" w:hAnsi="Arial" w:cs="Arial"/>
          <w:color w:val="000000"/>
          <w:sz w:val="22"/>
          <w:szCs w:val="22"/>
        </w:rPr>
        <w:fldChar w:fldCharType="begin" w:fldLock="1"/>
      </w:r>
      <w:r w:rsidR="000231B9">
        <w:rPr>
          <w:rFonts w:ascii="Arial" w:hAnsi="Arial" w:cs="Arial"/>
          <w:color w:val="000000"/>
          <w:sz w:val="22"/>
          <w:szCs w:val="22"/>
        </w:rPr>
        <w:instrText>ADDIN CSL_CITATION { "citationItems" : [ { "id" : "ITEM-1", "itemData" : { "author" : [ { "dropping-particle" : "", "family" : "Louren\u00e7o", "given" : "Jo\u00e3o M.", "non-dropping-particle" : "", "parse-names" : false, "suffix" : "" }, { "dropping-particle" : "", "family" : "Galtier", "given" : "Nicolas", "non-dropping-particle" : "", "parse-names" : false, "suffix" : "" }, { "dropping-particle" : "", "family" : "Gl\u00e9min", "given" : "Sylvain", "non-dropping-particle" : "", "parse-names" : false, "suffix" : "" } ], "container-title" : "Evolution", "id" : "ITEM-1", "issue" : "6", "issued" : { "date-parts" : [ [ "2011" ] ] }, "page" : "1559-1571", "title" : "Complexity, Pleiotropy, and the Fitness Effect of Mutations", "type" : "article-journal", "volume" : "65" }, "uris" : [ "http://www.mendeley.com/documents/?uuid=0cdba34f-7ea4-4370-8544-d0941996420e" ] } ], "mendeley" : { "formattedCitation" : "(Louren\u00e7o et al. 2011)", "plainTextFormattedCitation" : "(Louren\u00e7o et al. 2011)", "previouslyFormattedCitation" : "(Louren\u00e7o et al. 2011)" }, "properties" : { "noteIndex" : 0 }, "schema" : "https://github.com/citation-style-language/schema/raw/master/csl-citation.json" }</w:instrText>
      </w:r>
      <w:r w:rsidR="000231B9">
        <w:rPr>
          <w:rFonts w:ascii="Arial" w:hAnsi="Arial" w:cs="Arial"/>
          <w:color w:val="000000"/>
          <w:sz w:val="22"/>
          <w:szCs w:val="22"/>
        </w:rPr>
        <w:fldChar w:fldCharType="separate"/>
      </w:r>
      <w:r w:rsidR="000231B9" w:rsidRPr="004B0CE4">
        <w:rPr>
          <w:rFonts w:ascii="Arial" w:hAnsi="Arial" w:cs="Arial"/>
          <w:noProof/>
          <w:color w:val="000000"/>
          <w:sz w:val="22"/>
          <w:szCs w:val="22"/>
        </w:rPr>
        <w:t>(Lourenço et al. 2011)</w:t>
      </w:r>
      <w:r w:rsidR="000231B9">
        <w:rPr>
          <w:rFonts w:ascii="Arial" w:hAnsi="Arial" w:cs="Arial"/>
          <w:color w:val="000000"/>
          <w:sz w:val="22"/>
          <w:szCs w:val="22"/>
        </w:rPr>
        <w:fldChar w:fldCharType="end"/>
      </w:r>
      <w:r w:rsidR="000231B9">
        <w:rPr>
          <w:rFonts w:ascii="Arial" w:hAnsi="Arial" w:cs="Arial"/>
          <w:color w:val="000000"/>
          <w:sz w:val="22"/>
          <w:szCs w:val="22"/>
        </w:rPr>
        <w:t xml:space="preserve"> conducted analysis that suggests that DFE approaches are downwardly biased by universal pleiotropy assumptions, and that methods using drift load are relatively insensitive to the pleiotropy of mutations. Lourenco proposes a model of “partial pleiotropy” to explain the observed differences, suggesting that</w:t>
      </w:r>
      <w:r w:rsidR="00E53292">
        <w:rPr>
          <w:rFonts w:ascii="Arial" w:hAnsi="Arial" w:cs="Arial"/>
          <w:color w:val="000000"/>
          <w:sz w:val="22"/>
          <w:szCs w:val="22"/>
        </w:rPr>
        <w:t xml:space="preserve"> single </w:t>
      </w:r>
      <w:r w:rsidR="000231B9">
        <w:rPr>
          <w:rFonts w:ascii="Arial" w:hAnsi="Arial" w:cs="Arial"/>
          <w:color w:val="000000"/>
          <w:sz w:val="22"/>
          <w:szCs w:val="22"/>
        </w:rPr>
        <w:t>mutations only affect a small subset of</w:t>
      </w:r>
      <w:r w:rsidR="00E53292">
        <w:rPr>
          <w:rFonts w:ascii="Arial" w:hAnsi="Arial" w:cs="Arial"/>
          <w:color w:val="000000"/>
          <w:sz w:val="22"/>
          <w:szCs w:val="22"/>
        </w:rPr>
        <w:t xml:space="preserve"> traits</w:t>
      </w:r>
      <w:r w:rsidR="000231B9">
        <w:rPr>
          <w:rFonts w:ascii="Arial" w:hAnsi="Arial" w:cs="Arial"/>
          <w:color w:val="000000"/>
          <w:sz w:val="22"/>
          <w:szCs w:val="22"/>
        </w:rPr>
        <w:t xml:space="preserve">, but that mutations altogether affect many traits. </w:t>
      </w:r>
    </w:p>
    <w:p w14:paraId="376D0B3A" w14:textId="457A3438" w:rsidR="000231B9" w:rsidRDefault="000231B9"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A third class of methods utilizes datasets generated to study epistasis (Fig 1C). Assuming a Gaussian mutation distribution around the ancestor and additive effects of mutations in phenotype space, epistasis is expected to be reflected in the nonlinearity of the phenotype to fitness map. Previous studies have used the distribution of angles between pairs of mutations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"10.1111/evo.12156", "ISBN" : "00143820", "ISSN" : "00143820", "PMID" : "24094346", "abstract" : "The functional synthesis uses experimental methods from molecular biology, biochemistry and structural biology to decompose evolutionarily important mutations into their more proximal mechanistic determinants. However these methods are technically challenging and expensive. Noting strong formal parallels between R.A. Fisher's geometric model of adaptation and a recent model for the phenotypic basis of protein evolution, we sought to use the former to make inferences into the latter using data on pairwise fitness epistasis between mutations. We present an analytic framework for classifying pairs of mutations with respect to similarity of underlying mechanism on this basis, and also show that these data can yield an estimate of the number of mutationally labile phenotypes underlying fitness effects. We use computer simulations to explore the robustness of our approach to violations of analytic assumptions and analyze several recently published datasets. This work provides a theoretical complement to the functional synthesis as well as a novel test of Fisher's geometric model.", "author" : [ { "dropping-particle" : "", "family" : "Weinreich", "given" : "Daniel M.", "non-dropping-particle" : "", "parse-names" : false, "suffix" : "" }, { "dropping-particle" : "", "family" : "Knies", "given" : "Jennifer L.", "non-dropping-particle" : "", "parse-names" : false, "suffix" : "" } ], "container-title" : "Evolution", "id" : "ITEM-1", "issue" : "10", "issued" : { "date-parts" : [ [ "2013" ] ] }, "page" : "2957-2972", "title" : "Fisher's Geometric Model Of Adaptation Meets The Functional Synthesis: Data On Pairwise Epistasis For Fitness Yields Insights Into The Shape And Size Of Phenotype Space", "type" : "article-journal", "volume" : "67" }, "uris" : [ "http://www.mendeley.com/documents/?uuid=c52b615b-9f5f-4e8c-92f7-1f59d2710d11" ] } ], "mendeley" : { "formattedCitation" : "(Weinreich &amp; Knies 2013)", "plainTextFormattedCitation" : "(Weinreich &amp; Knies 2013)", "previouslyFormattedCitation" : "(Weinreich &amp; Knies 2013)"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(Weinreich &amp; Knies 2013)</w:t>
      </w:r>
      <w:r>
        <w:rPr>
          <w:rFonts w:ascii="Arial" w:hAnsi="Arial" w:cs="Arial"/>
          <w:color w:val="000000"/>
          <w:sz w:val="22"/>
          <w:szCs w:val="22"/>
        </w:rPr>
        <w:fldChar w:fldCharType="end"/>
      </w:r>
      <w:r>
        <w:rPr>
          <w:rFonts w:ascii="Arial" w:hAnsi="Arial" w:cs="Arial"/>
          <w:color w:val="000000"/>
          <w:sz w:val="22"/>
          <w:szCs w:val="22"/>
        </w:rPr>
        <w:t xml:space="preserve"> and approximate Bayesian computation</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"10.1534/genetics.115.182691", "ISBN" : "0016-6731", "ISSN" : "19432631", "PMID" : "27052568", "abstract" : "The fitness landscape defines the relationship between genotypes and fitness in a given environment and underlies fundamental quantities such as the distribution of selection coefficient and the magnitude and type of epistasis. A better understanding of variation in landscape structure across species and environments is thus necessary to understand and predict how populations will adapt. An increasing number of experiments investigate the properties of fitness landscapes by identifying mutations, constructing genotypes with combinations of these mutations, and measuring the fitness of these genotypes. Yet these empirical landscapes represent a very small sample of the vast space of all possible genotypes, and this sample is often biased by the protocol used to identify mutations. Here we develop a rigorous statistical framework based on Approximate Bayesian Computation to address these concerns and use this flexible framework to fit a broad class of phenotypic fitness models (including Fisher's model) to 26 empirical landscapes representing nine diverse biological systems. Despite uncertainty owing to the small size of most published empirical landscapes, the inferred landscapes have similar structure in similar biological systems. Surprisingly, goodness-of-fit tests reveal that this class of phenotypic models, which has been successful so far in interpreting experimental data, is a plausible in only three of nine biological systems. More precisely, although Fisher's model was able to explain several statistical properties of the landscapes-including the mean and SD of selection and epistasis coefficients-it was often unable to explain the full structure of fitness landscapes.", "author" : [ { "dropping-particle" : "", "family" : "Blanquart", "given" : "Fran\u00e7ois", "non-dropping-particle" : "", "parse-names" : false, "suffix" : "" }, { "dropping-particle" : "", "family" : "Bataillon", "given" : "Thomas", "non-dropping-particle" : "", "parse-names" : false, "suffix" : "" } ], "container-title" : "Genetics", "id" : "ITEM-1", "issue" : "2", "issued" : { "date-parts" : [ [ "2016" ] ] }, "page" : "847-862", "title" : "Epistasis and the structure of fitness landscapes: Are experimental fitness landscapes compatible with fisher\u2019s geometric model?", "type" : "article-journal", "volume" : "203" }, "uris" : [ "http://www.mendeley.com/documents/?uuid=eedc85ca-fe49-4fbf-a7e3-98ba25fe989b" ] } ], "mendeley" : { "formattedCitation" : "(Blanquart &amp; Bataillon 2016)", "plainTextFormattedCitation" : "(Blanquart &amp; Bataillon 2016)", "previouslyFormattedCitation" : "(Blanquart &amp; Bataillon 2016)"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(Blanquart &amp; Bataillon 2016)</w:t>
      </w:r>
      <w:r>
        <w:rPr>
          <w:rFonts w:ascii="Arial" w:hAnsi="Arial" w:cs="Arial"/>
          <w:color w:val="000000"/>
          <w:sz w:val="22"/>
          <w:szCs w:val="22"/>
        </w:rPr>
        <w:fldChar w:fldCharType="end"/>
      </w:r>
      <w:r>
        <w:rPr>
          <w:rFonts w:ascii="Arial" w:hAnsi="Arial" w:cs="Arial"/>
          <w:color w:val="000000"/>
          <w:sz w:val="22"/>
          <w:szCs w:val="22"/>
        </w:rPr>
        <w:t xml:space="preserve"> on epistasis datasets to underst</w:t>
      </w:r>
      <w:r w:rsidR="000B751A">
        <w:rPr>
          <w:rFonts w:ascii="Arial" w:hAnsi="Arial" w:cs="Arial"/>
          <w:color w:val="000000"/>
          <w:sz w:val="22"/>
          <w:szCs w:val="22"/>
        </w:rPr>
        <w:t>and phenotypic dimensionality.</w:t>
      </w:r>
      <w:commentRangeStart w:id="1"/>
      <w:r w:rsidR="000B751A">
        <w:rPr>
          <w:rFonts w:ascii="Arial" w:hAnsi="Arial" w:cs="Arial"/>
          <w:color w:val="000000"/>
          <w:sz w:val="22"/>
          <w:szCs w:val="22"/>
        </w:rPr>
        <w:t xml:space="preserve"> </w:t>
      </w:r>
      <w:r>
        <w:rPr>
          <w:rFonts w:ascii="Arial" w:hAnsi="Arial" w:cs="Arial"/>
          <w:color w:val="000000"/>
          <w:sz w:val="22"/>
          <w:szCs w:val="22"/>
        </w:rPr>
        <w:t xml:space="preserve"> </w:t>
      </w:r>
      <w:commentRangeEnd w:id="1"/>
      <w:r w:rsidR="000B751A">
        <w:rPr>
          <w:rStyle w:val="CommentReference"/>
        </w:rPr>
        <w:commentReference w:id="1"/>
      </w:r>
    </w:p>
    <w:p w14:paraId="6D5491A0" w14:textId="77777777" w:rsidR="000231B9" w:rsidRDefault="000231B9"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These approaches require the use of strict mathematical assumptions to derive tractable mathematical expressions and predictions. Most (if not all) of these assumptions are likely to be violated. It is unlikely that the ancestor is optimally fit, since adaptation is constantly proceeding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"Wiser", "given" : "Michael J", "non-dropping-particle" : "", "parse-names" : false, "suffix" : "" }, { "dropping-particle" : "", "family" : "Ribeck", "given" : "Noah", "non-dropping-particle" : "", "parse-names" : false, "suffix" : "" }, { "dropping-particle" : "", "family" : "Lenski", "given" : "Richard E.", "non-dropping-particle" : "", "parse-names" : false, "suffix" : "" } ], "container-title" : "Science", "id" : "ITEM-1", "issue" : "6164", "issued" : { "date-parts" : [ [ "2013" ] ] }, "page" : "1364-1367", "title" : "Long-Term Dynamics of Adaptation in Asexual Populations", "type" : "article-journal", "volume" : "342" }, "uris" : [ "http://www.mendeley.com/documents/?uuid=4c672aa6-1dc2-4481-a488-e4f5e1248739" ] } ], "mendeley" : { "formattedCitation" : "(Wiser et al. 2013)", "plainTextFormattedCitation" : "(Wiser et al. 2013)", "previouslyFormattedCitation" : "(Wiser et al. 2013)"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(Wiser et al. 2013)</w:t>
      </w:r>
      <w:r>
        <w:rPr>
          <w:rFonts w:ascii="Arial" w:hAnsi="Arial" w:cs="Arial"/>
          <w:color w:val="000000"/>
          <w:sz w:val="22"/>
          <w:szCs w:val="22"/>
        </w:rPr>
        <w:fldChar w:fldCharType="end"/>
      </w:r>
      <w:r>
        <w:rPr>
          <w:rFonts w:ascii="Arial" w:hAnsi="Arial" w:cs="Arial"/>
          <w:color w:val="000000"/>
          <w:sz w:val="22"/>
          <w:szCs w:val="22"/>
        </w:rPr>
        <w:t>. Moreover, assuming additivity of mutants in phenotype is likely to be wrong. This is particularly clear in the extreme example of pairs of loss of function mutations in the same pathway. Finally, a local Gaussian distribution for mutations in phenotypic space is also unlikely loss of function mutations can drastically change the expression of proteins and thus move a cell’s phenotype very far from the initial set of phenotypes. Additionally, there have been calls for the use of partial pleiotropy in these models to reconcile conflicting conclusions by some of these studies</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"Louren\u00e7o", "given" : "Jo\u00e3o M.", "non-dropping-particle" : "", "parse-names" : false, "suffix" : "" }, { "dropping-particle" : "", "family" : "Galtier", "given" : "Nicolas", "non-dropping-particle" : "", "parse-names" : false, "suffix" : "" }, { "dropping-particle" : "", "family" : "Gl\u00e9min", "given" : "Sylvain", "non-dropping-particle" : "", "parse-names" : false, "suffix" : "" } ], "container-title" : "Evolution", "id" : "ITEM-1", "issue" : "6", "issued" : { "date-parts" : [ [ "2011" ] ] }, "page" : "1559-1571", "title" : "Complexity, Pleiotropy, and the Fitness Effect of Mutations", "type" : "article-journal", "volume" : "65" }, "uris" : [ "http://www.mendeley.com/documents/?uuid=0cdba34f-7ea4-4370-8544-d0941996420e" ] }, { "id" : "ITEM-2", "itemData" : { "DOI" : "10.1111/nyas.12460", "ISBN" : "1749-6632", "ISSN" : "17496632", "PMID" : "24891070", "abstract" : "The rates and properties of new mutations affecting fitness have implications for a number of outstanding questions in evolutionary biology. Obtaining estimates of mutation rates and effects has historically been challenging, and little theory has been available for predicting the distribution of fitness effects (DFE); however, there have been recent advances on both fronts. Extreme-value theory predicts the DFE of beneficial mutations in well-adapted populations, while phenotypic fitness landscape models make predictions for the DFE of all mutations as a function of the initial level of adaptation and the strength of stabilizing selection on traits underlying fitness. Direct experimental evidence confirms predictions on the DFE of beneficial mutations and favors distributions that are roughly exponential but bounded on the right. A growing number of studies infer the DFE using genomic patterns of polymorphism and divergence, recovering a wide range of DFE. Future work should be aimed at identifying factors driving the observed variation in the DFE. We emphasize the need for further theory explicitly incorporating the effects of partial pleiotropy and heterogeneity in the environment on the expected DFE.", "author" : [ { "dropping-particle" : "", "family" : "Bataillon", "given" : "Thomas", "non-dropping-particle" : "", "parse-names" : false, "suffix" : "" }, { "dropping-particle" : "", "family" : "Bailey", "given" : "Susan F.", "non-dropping-particle" : "", "parse-names" : false, "suffix" : "" } ], "container-title" : "Annals of the New York Academy of Sciences", "id" : "ITEM-2", "issue" : "1", "issued" : { "date-parts" : [ [ "2014" ] ] }, "page" : "76-92", "title" : "Effects of new mutations on fitness: Insights from models and data", "type" : "article-journal", "volume" : "1320" }, "uris" : [ "http://www.mendeley.com/documents/?uuid=6a1c0b9a-c87b-4972-af25-27613ad12c53" ] } ], "mendeley" : { "formattedCitation" : "(Louren\u00e7o et al. 2011; Bataillon &amp; Bailey 2014)", "plainTextFormattedCitation" : "(Louren\u00e7o et al. 2011; Bataillon &amp; Bailey 2014)", "previouslyFormattedCitation" : "(Louren\u00e7o et al. 2011; Bataillon &amp; Bailey 2014)"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(Lourenço et al. 2011; Bataillon &amp; Bailey 2014)</w:t>
      </w:r>
      <w:r>
        <w:rPr>
          <w:rFonts w:ascii="Arial" w:hAnsi="Arial" w:cs="Arial"/>
          <w:color w:val="000000"/>
          <w:sz w:val="22"/>
          <w:szCs w:val="22"/>
        </w:rPr>
        <w:fldChar w:fldCharType="end"/>
      </w:r>
      <w:r>
        <w:rPr>
          <w:rFonts w:ascii="Arial" w:hAnsi="Arial" w:cs="Arial"/>
          <w:color w:val="000000"/>
          <w:sz w:val="22"/>
          <w:szCs w:val="22"/>
        </w:rPr>
        <w:t xml:space="preserve">. </w:t>
      </w:r>
    </w:p>
    <w:p w14:paraId="606393FF" w14:textId="5AE438D2" w:rsidR="000231B9" w:rsidRDefault="000231B9" w:rsidP="000231B9">
      <w:pPr>
        <w:widowControl w:val="0"/>
        <w:autoSpaceDE w:val="0"/>
        <w:autoSpaceDN w:val="0"/>
        <w:adjustRightInd w:val="0"/>
        <w:spacing w:after="240" w:line="288" w:lineRule="auto"/>
        <w:rPr>
          <w:rFonts w:ascii="Arial" w:hAnsi="Arial" w:cs="Arial"/>
          <w:color w:val="000000"/>
          <w:sz w:val="22"/>
          <w:szCs w:val="22"/>
        </w:rPr>
      </w:pPr>
      <w:commentRangeStart w:id="2"/>
      <w:r>
        <w:rPr>
          <w:rFonts w:ascii="Arial" w:hAnsi="Arial" w:cs="Arial"/>
          <w:color w:val="000000"/>
          <w:sz w:val="22"/>
          <w:szCs w:val="22"/>
        </w:rPr>
        <w:t xml:space="preserve">Recent technological advances allow us to measure the fitness of many mutants with high precision in a high-throughput manner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"10.1038/nature14279", "ISBN" : "6314442508", "ISSN" : "0028-0836", "PMID" : "25731169",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"ITEM-1", "issued" : { "date-parts" : [ [ "2015" ] ] }, "page" : "1-78", "title" : "Quantitative evolutionary dynamics using high-resolution lineage tracking", "type" : "article-journal", "volume" : "advance on" }, "uris" : [ "http://www.mendeley.com/documents/?uuid=99b1e067-8000-4728-8b65-93095a5de81a" ] } ], "mendeley" : { "formattedCitation" : "(Levy et al. 2015)", "plainTextFormattedCitation" : "(Levy et al. 2015)", "previouslyFormattedCitation" : "(Levy et al. 2015)"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(Levy et al. 2015)</w:t>
      </w:r>
      <w:r>
        <w:rPr>
          <w:rFonts w:ascii="Arial" w:hAnsi="Arial" w:cs="Arial"/>
          <w:color w:val="000000"/>
          <w:sz w:val="22"/>
          <w:szCs w:val="22"/>
        </w:rPr>
        <w:fldChar w:fldCharType="end"/>
      </w:r>
      <w:r>
        <w:rPr>
          <w:rFonts w:ascii="Arial" w:hAnsi="Arial" w:cs="Arial"/>
          <w:color w:val="000000"/>
          <w:sz w:val="22"/>
          <w:szCs w:val="22"/>
        </w:rPr>
        <w:t xml:space="preserve"> and take an approach that removes the necessity for some of these assumptions. In particular, this allows for fitness measurements of a large collection of mutants in a range of conditions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"10.1016/j.cell.2016.08.002", "ISBN" : "0092-8674", "ISSN" : "10974172", "PMID" : "27594428", "abstract" : "Adaptive evolution plays a large role in generating the phenotypic diversity observed in nature, yet current methods are impractical for characterizing the molecular basis and fitness effects of large numbers of individual adaptive mutations. Here, we used a DNA barcoding approach to generate the genotype-to-fitness map for adaptation-driving mutations from a Saccharomyces cerevisiae population experimentally evolved by serial transfer under limiting glucose. We isolated and measured the fitness of thousands of independent adaptive clones and sequenced the genomes of hundreds of clones. We found only two major classes of adaptive mutations: self-diploidization and mutations in the nutrient-responsive Ras/PKA and TOR/Sch9 pathways. Our large sample size and precision of measurement allowed us to determine that there are significant differences in fitness between mutations in different genes, between different paralogs, and even between different classes of mutations within the same gene.", "author" : [ { "dropping-particle" : "", "family" : "Venkataram", "given" : "Sandeep", "non-dropping-particle" : "", "parse-names" : false, "suffix" : "" }, { "dropping-particle" : "", "family" : "Dunn", "given" : "Barbara", "non-dropping-particle" : "", "parse-names" : false, "suffix" : "" }, { "dropping-particle" : "", "family" : "Li", "given" : "Yuping", "non-dropping-particle" : "", "parse-names" : false, "suffix" : "" }, { "dropping-particle" : "", "family" : "Agarwala", "given" : "Atish", "non-dropping-particle" : "", "parse-names" : false, "suffix" : "" }, { "dropping-particle" : "", "family" : "Chang", "given" : "Jessica", "non-dropping-particle" : "", "parse-names" : false, "suffix" : "" }, { "dropping-particle" : "", "family" : "Ebel", "given" : "Emily R", "non-dropping-particle" : "", "parse-names" : false, "suffix" : "" }, { "dropping-particle" : "", "family" : "Geiler-Samerotte", "given" : "Kerry", "non-dropping-particle" : "", "parse-names" : false, "suffix" : "" }, { "dropping-particle" : "", "family" : "Herissant", "given" : "Lucas", "non-dropping-particle" : "", "parse-names" : false, "suffix" : "" }, { "dropping-particle" : "", "family" : "Blundell", "given" : "Jamie R", "non-dropping-particle" : "", "parse-names" : false, "suffix" : "" }, { "dropping-particle" : "", "family" : "Levy", "given" : "Sasha F", "non-dropping-particle" : "", "parse-names" : false, "suffix" : "" }, { "dropping-particle" : "", "family" : "Fisher", "given" : "Daniel S", "non-dropping-particle" : "", "parse-names" : false, "suffix" : "" }, { "dropping-particle" : "", "family" : "Sherlock", "given" : "Gavin", "non-dropping-particle" : "", "parse-names" : false, "suffix" : "" }, { "dropping-particle" : "", "family" : "Petrov", "given" : "Dmitri A", "non-dropping-particle" : "", "parse-names" : false, "suffix" : "" } ], "container-title" : "Cell", "id" : "ITEM-1", "issue" : "6", "issued" : { "date-parts" : [ [ "2016" ] ] }, "page" : "1585-1596.e22", "title" : "Development of a Comprehensive Genotype-to-Fitness Map of Adaptation-Driving Mutations in Yeast", "type" : "article-journal", "volume" : "166" }, "uris" : [ "http://www.mendeley.com/documents/?uuid=0a8a7b43-a21c-41aa-a322-353ee0ec7e55" ] }, { "id" : "ITEM-2", "itemData" : { "DOI" : "10.1016/j.cub.2018.01.009", "ISSN" : "09609822", "PMID" : "29429618", "abstract" : "Few studies have \u201cquantitatively\u201d probed how adaptive mutations result in increased fitness. Even in simple microbial evolution experiments, with full knowledge of the underlying mutations and specific growth conditions, it is challenging to determine where within a growth-saturation cycle those fitness gains occur. A common implicit assumption is that most benefits derive from an increased exponential growth rate. Here, we instead show that, in batch serial transfer experiments, adaptive mutants\u2019 fitness gains can be dominated by benefits that are accrued in one growth cycle, but not realized until the next growth cycle. For thousands of evolved clones (most with only a single mutation), we systematically varied the lengths of fermentation, respiration, and stationary phases to assess how their fitness, as measured by barcode sequencing, depends on these phases of the growth-saturation-dilution cycles. These data revealed that, whereas all adaptive lineages gained similar and modest benefits from fermentation, most of the benefits for the highest fitness mutants came instead from the time spent in respiration. From monoculture and high-resolution pairwise fitness competition experiments for a dozen of these clones, we determined that the benefits \u201caccrued\u201d during respiration are only largely \u201crealized\u201d later as a shorter duration of lag phase in the following growth cycle. These results reveal hidden complexities of the adaptive process even under ostensibly simple evolutionary conditions, in which fitness gains can accrue during time spent in a growth phase with little cell division, and reveal that the memory of those gains can be realized in the subsequent growth cycle. Quantitative details of how adaptive genotypes gain fitness have rarely been studied. By quantifying fitness benefits of thousands of yeast clones in different parts of the growth-saturation cycle, Li et al. identify distinct adaptive strategies, with some strategies showing clear trade-offs between growth and survival.", "author" : [ { "dropping-particle" : "", "family" : "Li", "given" : "Yuping", "non-dropping-particle" : "", "parse-names" : false, "suffix" : "" }, { "dropping-particle" : "", "family" : "Venkataram", "given" : "Sandeep", "non-dropping-particle" : "", "parse-names" : false, "suffix" : "" }, { "dropping-particle" : "", "family" : "Agarwala", "given" : "Atish", "non-dropping-particle" : "", "parse-names" : false, "suffix" : "" }, { "dropping-particle" : "", "family" : "Dunn", "given" : "Barbara", "non-dropping-particle" : "", "parse-names" : false, "suffix" : "" }, { "dropping-particle" : "", "family" : "Petrov", "given" : "Dmitri A.", "non-dropping-particle" : "", "parse-names" : false, "suffix" : "" }, { "dropping-particle" : "", "family" : "Sherlock", "given" : "Gavin", "non-dropping-particle" : "", "parse-names" : false, "suffix" : "" }, { "dropping-particle" : "", "family" : "Fisher", "given" : "Daniel S.", "non-dropping-particle" : "", "parse-names" : false, "suffix" : "" } ], "container-title" : "Current Biology", "id" : "ITEM-2", "issue" : "4", "issued" : { "date-parts" : [ [ "2018" ] ] }, "page" : "515-525.e6", "publisher" : "Elsevier Ltd.", "title" : "Hidden Complexity of Yeast Adaptation under Simple Evolutionary Conditions", "type" : "article-journal", "volume" : "28" }, "uris" : [ "http://www.mendeley.com/documents/?uuid=796a264e-a8dc-4432-9a86-b88993949cf0" ] } ], "mendeley" : { "formattedCitation" : "(Venkataram et al. 2016; Li et al. 2018)", "plainTextFormattedCitation" : "(Venkataram et al. 2016; Li et al. 2018)", "previouslyFormattedCitation" : "(Venkataram et al. 2016; Li et al. 2018)"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(Venkataram et al. 2016; Li et al. 2018)</w:t>
      </w:r>
      <w:r>
        <w:rPr>
          <w:rFonts w:ascii="Arial" w:hAnsi="Arial" w:cs="Arial"/>
          <w:color w:val="000000"/>
          <w:sz w:val="22"/>
          <w:szCs w:val="22"/>
        </w:rPr>
        <w:fldChar w:fldCharType="end"/>
      </w:r>
      <w:r>
        <w:rPr>
          <w:rFonts w:ascii="Arial" w:hAnsi="Arial" w:cs="Arial"/>
          <w:color w:val="000000"/>
          <w:sz w:val="22"/>
          <w:szCs w:val="22"/>
        </w:rPr>
        <w:t xml:space="preserve">. Our approach builds on the phenotypic intuition supplied by Fisher’s geometric model and takes advantage of this new technology by measuring this dimensionality using subtle environmental perturbations (Fig 1D). That is, we slightly change the environment that mutant linages grow in, and use precise measurements of their fitness relative to the ancestor to triangulate both the mutants and the optima that represent the optimal combination of phenotypes in a given environment. We find the space that best fits our data for each number of dimensions, and then evaluate which number of dimensions gives us the best ability to predict withheld data using cross validation.  </w:t>
      </w:r>
      <w:commentRangeEnd w:id="2"/>
      <w:r>
        <w:rPr>
          <w:rStyle w:val="CommentReference"/>
        </w:rPr>
        <w:commentReference w:id="2"/>
      </w:r>
    </w:p>
    <w:p w14:paraId="01DF6C6D" w14:textId="77777777" w:rsidR="000231B9" w:rsidRDefault="000231B9" w:rsidP="00FD7F84">
      <w:pPr>
        <w:widowControl w:val="0"/>
        <w:autoSpaceDE w:val="0"/>
        <w:autoSpaceDN w:val="0"/>
        <w:adjustRightInd w:val="0"/>
        <w:spacing w:after="240"/>
        <w:rPr>
          <w:rFonts w:ascii="Arial" w:hAnsi="Arial" w:cs="Arial"/>
          <w:b/>
          <w:bCs/>
          <w:color w:val="000000"/>
          <w:sz w:val="20"/>
          <w:szCs w:val="20"/>
        </w:rPr>
      </w:pPr>
    </w:p>
    <w:p w14:paraId="17C5641A" w14:textId="77777777" w:rsidR="000231B9" w:rsidRDefault="000231B9" w:rsidP="00FD7F84">
      <w:pPr>
        <w:widowControl w:val="0"/>
        <w:autoSpaceDE w:val="0"/>
        <w:autoSpaceDN w:val="0"/>
        <w:adjustRightInd w:val="0"/>
        <w:spacing w:after="240"/>
        <w:rPr>
          <w:rFonts w:ascii="Arial" w:hAnsi="Arial" w:cs="Arial"/>
          <w:b/>
          <w:bCs/>
          <w:color w:val="000000"/>
          <w:sz w:val="20"/>
          <w:szCs w:val="20"/>
        </w:rPr>
      </w:pPr>
    </w:p>
    <w:p w14:paraId="6982754A" w14:textId="77777777" w:rsidR="000231B9" w:rsidRDefault="000231B9" w:rsidP="00FD7F84">
      <w:pPr>
        <w:widowControl w:val="0"/>
        <w:autoSpaceDE w:val="0"/>
        <w:autoSpaceDN w:val="0"/>
        <w:adjustRightInd w:val="0"/>
        <w:spacing w:after="240"/>
        <w:rPr>
          <w:rFonts w:ascii="Arial" w:hAnsi="Arial" w:cs="Arial"/>
          <w:b/>
          <w:bCs/>
          <w:color w:val="000000"/>
          <w:sz w:val="20"/>
          <w:szCs w:val="20"/>
        </w:rPr>
      </w:pPr>
    </w:p>
    <w:p w14:paraId="734F554B" w14:textId="77777777" w:rsidR="000231B9" w:rsidRDefault="000231B9" w:rsidP="00FD7F84">
      <w:pPr>
        <w:widowControl w:val="0"/>
        <w:autoSpaceDE w:val="0"/>
        <w:autoSpaceDN w:val="0"/>
        <w:adjustRightInd w:val="0"/>
        <w:spacing w:after="240"/>
        <w:rPr>
          <w:rFonts w:ascii="Arial" w:hAnsi="Arial" w:cs="Arial"/>
          <w:b/>
          <w:bCs/>
          <w:color w:val="000000"/>
          <w:sz w:val="20"/>
          <w:szCs w:val="20"/>
        </w:rPr>
      </w:pPr>
    </w:p>
    <w:p w14:paraId="45880F94" w14:textId="77777777" w:rsidR="000231B9" w:rsidRDefault="000231B9" w:rsidP="00FD7F84">
      <w:pPr>
        <w:widowControl w:val="0"/>
        <w:autoSpaceDE w:val="0"/>
        <w:autoSpaceDN w:val="0"/>
        <w:adjustRightInd w:val="0"/>
        <w:spacing w:after="240"/>
        <w:rPr>
          <w:rFonts w:ascii="Arial" w:hAnsi="Arial" w:cs="Arial"/>
          <w:b/>
          <w:bCs/>
          <w:color w:val="000000"/>
          <w:sz w:val="20"/>
          <w:szCs w:val="20"/>
        </w:rPr>
      </w:pPr>
    </w:p>
    <w:p w14:paraId="0FCA742A" w14:textId="77777777" w:rsidR="000231B9" w:rsidRDefault="000231B9" w:rsidP="00FD7F84">
      <w:pPr>
        <w:widowControl w:val="0"/>
        <w:autoSpaceDE w:val="0"/>
        <w:autoSpaceDN w:val="0"/>
        <w:adjustRightInd w:val="0"/>
        <w:spacing w:after="240"/>
        <w:rPr>
          <w:rFonts w:ascii="Arial" w:hAnsi="Arial" w:cs="Arial"/>
          <w:b/>
          <w:bCs/>
          <w:color w:val="000000"/>
          <w:sz w:val="20"/>
          <w:szCs w:val="20"/>
        </w:rPr>
      </w:pPr>
    </w:p>
    <w:p w14:paraId="3E60C78C" w14:textId="60107BDF" w:rsidR="00AB1A44" w:rsidRDefault="00AB1A44" w:rsidP="00FD7F84">
      <w:pPr>
        <w:widowControl w:val="0"/>
        <w:autoSpaceDE w:val="0"/>
        <w:autoSpaceDN w:val="0"/>
        <w:adjustRightInd w:val="0"/>
        <w:spacing w:after="240"/>
        <w:rPr>
          <w:rFonts w:ascii="Arial" w:hAnsi="Arial" w:cs="Arial"/>
          <w:b/>
          <w:bCs/>
          <w:color w:val="000000"/>
          <w:sz w:val="20"/>
          <w:szCs w:val="20"/>
        </w:rPr>
      </w:pPr>
      <w:r>
        <w:rPr>
          <w:rFonts w:ascii="Arial" w:hAnsi="Arial" w:cs="Arial"/>
          <w:b/>
          <w:bCs/>
          <w:noProof/>
          <w:color w:val="000000"/>
          <w:sz w:val="20"/>
          <w:szCs w:val="20"/>
        </w:rPr>
        <w:drawing>
          <wp:inline distT="0" distB="0" distL="0" distR="0" wp14:anchorId="736D1078" wp14:editId="6EA578A1">
            <wp:extent cx="5943600" cy="4457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hod_fig1.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CDA8979" w14:textId="415230F2" w:rsidR="000231B9" w:rsidRDefault="008F4A97" w:rsidP="00FD7F84">
      <w:pPr>
        <w:widowControl w:val="0"/>
        <w:autoSpaceDE w:val="0"/>
        <w:autoSpaceDN w:val="0"/>
        <w:adjustRightInd w:val="0"/>
        <w:spacing w:after="240"/>
        <w:rPr>
          <w:rFonts w:ascii="Arial" w:hAnsi="Arial" w:cs="Arial"/>
          <w:color w:val="000000"/>
          <w:sz w:val="20"/>
          <w:szCs w:val="20"/>
        </w:rPr>
      </w:pPr>
      <w:r>
        <w:rPr>
          <w:rFonts w:ascii="Arial" w:hAnsi="Arial" w:cs="Arial"/>
          <w:b/>
          <w:bCs/>
          <w:color w:val="000000"/>
          <w:sz w:val="20"/>
          <w:szCs w:val="20"/>
        </w:rPr>
        <w:t>Figure 1. Fisher’s geometric model and approaches to infer dimensionality. A.</w:t>
      </w:r>
      <w:r>
        <w:rPr>
          <w:rFonts w:ascii="Arial" w:hAnsi="Arial" w:cs="Arial"/>
          <w:color w:val="000000"/>
          <w:sz w:val="20"/>
          <w:szCs w:val="20"/>
        </w:rPr>
        <w:t xml:space="preserve"> In Fisher’s geometric model, traits have independent effects on fitness, and mutations are represented by vectors in phenotype space, where the new mutant genotype is represented by a new location. Fitness is determined by the distance from the optimum (denoted by gray circle). Thus, everything the same distance away from the origin as the ancestor is neutral (on dashed line), and everything closer is adaptive.</w:t>
      </w:r>
      <w:r>
        <w:rPr>
          <w:rFonts w:ascii="Arial" w:hAnsi="Arial" w:cs="Arial"/>
          <w:b/>
          <w:bCs/>
          <w:color w:val="000000"/>
          <w:sz w:val="20"/>
          <w:szCs w:val="20"/>
        </w:rPr>
        <w:t xml:space="preserve"> B.</w:t>
      </w:r>
      <w:r>
        <w:rPr>
          <w:rFonts w:ascii="Arial" w:hAnsi="Arial" w:cs="Arial"/>
          <w:color w:val="000000"/>
          <w:sz w:val="20"/>
          <w:szCs w:val="20"/>
        </w:rPr>
        <w:t xml:space="preserve"> Estimating the number of dimensions using the distribution of fitness effects assumes a fixed mutation distribution and that the ancestor is optimally fit.</w:t>
      </w:r>
      <w:r>
        <w:rPr>
          <w:rFonts w:ascii="Arial" w:hAnsi="Arial" w:cs="Arial"/>
          <w:b/>
          <w:bCs/>
          <w:color w:val="000000"/>
          <w:sz w:val="20"/>
          <w:szCs w:val="20"/>
        </w:rPr>
        <w:t xml:space="preserve"> C. </w:t>
      </w:r>
      <w:r>
        <w:rPr>
          <w:rFonts w:ascii="Arial" w:hAnsi="Arial" w:cs="Arial"/>
          <w:color w:val="000000"/>
          <w:sz w:val="20"/>
          <w:szCs w:val="20"/>
        </w:rPr>
        <w:t xml:space="preserve">Estimating the number of dimensions using epistasis data assumes a mutation distribution and also that the effect of mutations on phenotype is additive, i.e. the vector representing a double mutation is the sum of the vectors of the subsequent single mutations. </w:t>
      </w:r>
      <w:r>
        <w:rPr>
          <w:rFonts w:ascii="Arial" w:hAnsi="Arial" w:cs="Arial"/>
          <w:b/>
          <w:bCs/>
          <w:color w:val="000000"/>
          <w:sz w:val="20"/>
          <w:szCs w:val="20"/>
        </w:rPr>
        <w:t>D.</w:t>
      </w:r>
      <w:r>
        <w:rPr>
          <w:rFonts w:ascii="Arial" w:hAnsi="Arial" w:cs="Arial"/>
          <w:color w:val="000000"/>
          <w:sz w:val="20"/>
          <w:szCs w:val="20"/>
        </w:rPr>
        <w:t xml:space="preserve"> Our approach. We use subtle environmental perturbations to triangulate mutants and conditions. Relative fitness measurements give us information about the distance between a mutant and the condition’s optimum, relative to the distance between the ancestor and that optimum. </w:t>
      </w:r>
    </w:p>
    <w:p w14:paraId="76D8CEE1" w14:textId="38C7EEC2" w:rsidR="000231B9" w:rsidRPr="00A61656" w:rsidRDefault="000231B9" w:rsidP="00A61656">
      <w:pPr>
        <w:widowControl w:val="0"/>
        <w:autoSpaceDE w:val="0"/>
        <w:autoSpaceDN w:val="0"/>
        <w:adjustRightInd w:val="0"/>
        <w:spacing w:after="240" w:line="288" w:lineRule="auto"/>
        <w:rPr>
          <w:rFonts w:ascii="Arial" w:hAnsi="Arial" w:cs="Arial"/>
          <w:b/>
          <w:bCs/>
          <w:color w:val="000000"/>
          <w:sz w:val="22"/>
          <w:szCs w:val="22"/>
        </w:rPr>
      </w:pPr>
      <w:r>
        <w:rPr>
          <w:rFonts w:ascii="Arial" w:hAnsi="Arial" w:cs="Arial"/>
          <w:b/>
          <w:bCs/>
          <w:color w:val="000000"/>
          <w:sz w:val="22"/>
          <w:szCs w:val="22"/>
        </w:rPr>
        <w:t>Methods</w:t>
      </w:r>
    </w:p>
    <w:p w14:paraId="49F1438B" w14:textId="5D446AA1" w:rsidR="00E53292" w:rsidRDefault="009B3EC5"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W</w:t>
      </w:r>
      <w:r w:rsidR="00FD7F84">
        <w:rPr>
          <w:rFonts w:ascii="Arial" w:hAnsi="Arial" w:cs="Arial"/>
          <w:color w:val="000000"/>
          <w:sz w:val="22"/>
          <w:szCs w:val="22"/>
        </w:rPr>
        <w:t>e consider an explicit model of phenotypic evolution based on</w:t>
      </w:r>
      <w:r w:rsidR="008527D2">
        <w:rPr>
          <w:rFonts w:ascii="Arial" w:hAnsi="Arial" w:cs="Arial"/>
          <w:color w:val="000000"/>
          <w:sz w:val="22"/>
          <w:szCs w:val="22"/>
        </w:rPr>
        <w:t xml:space="preserve"> Fisher’s Geometric Model </w:t>
      </w:r>
      <w:r w:rsidR="008527D2">
        <w:rPr>
          <w:rFonts w:ascii="Arial" w:hAnsi="Arial" w:cs="Arial"/>
          <w:color w:val="000000"/>
          <w:sz w:val="22"/>
          <w:szCs w:val="22"/>
        </w:rPr>
        <w:fldChar w:fldCharType="begin" w:fldLock="1"/>
      </w:r>
      <w:r w:rsidR="00E111CB">
        <w:rPr>
          <w:rFonts w:ascii="Arial" w:hAnsi="Arial" w:cs="Arial"/>
          <w:color w:val="000000"/>
          <w:sz w:val="22"/>
          <w:szCs w:val="22"/>
        </w:rPr>
        <w:instrText>ADDIN CSL_CITATION { "citationItems" : [ { "id" : "ITEM-1", "itemData" : { "author" : [ { "dropping-particle" : "", "family" : "Fisher", "given" : "R. A.", "non-dropping-particle" : "", "parse-names" : false, "suffix" : "" } ], "id" : "ITEM-1", "issued" : { "date-parts" : [ [ "1930" ] ] }, "publisher" : "Oxford University Press", "publisher-place" : "Oxford", "title" : "The Genetical Theory of Natural Selection", "type" : "book" }, "uris" : [ "http://www.mendeley.com/documents/?uuid=93ac010c-07c1-4f7a-a76d-8c19e310753c" ] } ], "mendeley" : { "formattedCitation" : "(Fisher 1930)", "plainTextFormattedCitation" : "(Fisher 1930)", "previouslyFormattedCitation" : "(Fisher 1930)" }, "properties" : { "noteIndex" : 0 }, "schema" : "https://github.com/citation-style-language/schema/raw/master/csl-citation.json" }</w:instrText>
      </w:r>
      <w:r w:rsidR="008527D2">
        <w:rPr>
          <w:rFonts w:ascii="Arial" w:hAnsi="Arial" w:cs="Arial"/>
          <w:color w:val="000000"/>
          <w:sz w:val="22"/>
          <w:szCs w:val="22"/>
        </w:rPr>
        <w:fldChar w:fldCharType="separate"/>
      </w:r>
      <w:r w:rsidR="008527D2" w:rsidRPr="008527D2">
        <w:rPr>
          <w:rFonts w:ascii="Arial" w:hAnsi="Arial" w:cs="Arial"/>
          <w:noProof/>
          <w:color w:val="000000"/>
          <w:sz w:val="22"/>
          <w:szCs w:val="22"/>
        </w:rPr>
        <w:t>(Fisher 1930)</w:t>
      </w:r>
      <w:r w:rsidR="008527D2">
        <w:rPr>
          <w:rFonts w:ascii="Arial" w:hAnsi="Arial" w:cs="Arial"/>
          <w:color w:val="000000"/>
          <w:sz w:val="22"/>
          <w:szCs w:val="22"/>
        </w:rPr>
        <w:fldChar w:fldCharType="end"/>
      </w:r>
      <w:r w:rsidR="00FD7F84">
        <w:rPr>
          <w:rFonts w:ascii="Arial" w:hAnsi="Arial" w:cs="Arial"/>
          <w:color w:val="000000"/>
          <w:sz w:val="22"/>
          <w:szCs w:val="22"/>
        </w:rPr>
        <w:t xml:space="preserve">. In this </w:t>
      </w:r>
      <w:r w:rsidR="008527D2">
        <w:rPr>
          <w:rFonts w:ascii="Arial" w:hAnsi="Arial" w:cs="Arial"/>
          <w:color w:val="000000"/>
          <w:sz w:val="22"/>
          <w:szCs w:val="22"/>
        </w:rPr>
        <w:t xml:space="preserve">model, phenotypes are depicted as orthogonal axes in a </w:t>
      </w:r>
      <w:r w:rsidR="008527D2">
        <w:rPr>
          <w:rFonts w:ascii="Arial" w:hAnsi="Arial" w:cs="Arial"/>
          <w:i/>
          <w:color w:val="000000"/>
          <w:sz w:val="22"/>
          <w:szCs w:val="22"/>
        </w:rPr>
        <w:t>d</w:t>
      </w:r>
      <w:r w:rsidR="008527D2">
        <w:rPr>
          <w:rFonts w:ascii="Arial" w:hAnsi="Arial" w:cs="Arial"/>
          <w:color w:val="000000"/>
          <w:sz w:val="22"/>
          <w:szCs w:val="22"/>
        </w:rPr>
        <w:t>-dimensional space, with the number of dimensions</w:t>
      </w:r>
      <w:r w:rsidR="004B5991">
        <w:rPr>
          <w:rFonts w:ascii="Arial" w:hAnsi="Arial" w:cs="Arial"/>
          <w:color w:val="000000"/>
          <w:sz w:val="22"/>
          <w:szCs w:val="22"/>
        </w:rPr>
        <w:t xml:space="preserve">, </w:t>
      </w:r>
      <w:r w:rsidR="008527D2">
        <w:rPr>
          <w:rFonts w:ascii="Arial" w:hAnsi="Arial" w:cs="Arial"/>
          <w:i/>
          <w:color w:val="000000"/>
          <w:sz w:val="22"/>
          <w:szCs w:val="22"/>
        </w:rPr>
        <w:t>d</w:t>
      </w:r>
      <w:r w:rsidR="004B5991">
        <w:rPr>
          <w:rFonts w:ascii="Arial" w:hAnsi="Arial" w:cs="Arial"/>
          <w:i/>
          <w:color w:val="000000"/>
          <w:sz w:val="22"/>
          <w:szCs w:val="22"/>
        </w:rPr>
        <w:t>,</w:t>
      </w:r>
      <w:r w:rsidR="00514E6A">
        <w:rPr>
          <w:rFonts w:ascii="Arial" w:hAnsi="Arial" w:cs="Arial"/>
          <w:color w:val="000000"/>
          <w:sz w:val="22"/>
          <w:szCs w:val="22"/>
        </w:rPr>
        <w:t xml:space="preserve"> representing the number of traits</w:t>
      </w:r>
      <w:r w:rsidR="008527D2">
        <w:rPr>
          <w:rFonts w:ascii="Arial" w:hAnsi="Arial" w:cs="Arial"/>
          <w:color w:val="000000"/>
          <w:sz w:val="22"/>
          <w:szCs w:val="22"/>
        </w:rPr>
        <w:t xml:space="preserve"> possibly relevant in this space. Organisms </w:t>
      </w:r>
      <w:r>
        <w:rPr>
          <w:rFonts w:ascii="Arial" w:hAnsi="Arial" w:cs="Arial"/>
          <w:color w:val="000000"/>
          <w:sz w:val="22"/>
          <w:szCs w:val="22"/>
        </w:rPr>
        <w:t xml:space="preserve">are depicted as points in this </w:t>
      </w:r>
      <w:r>
        <w:rPr>
          <w:rFonts w:ascii="Arial" w:hAnsi="Arial" w:cs="Arial"/>
          <w:i/>
          <w:color w:val="000000"/>
          <w:sz w:val="22"/>
          <w:szCs w:val="22"/>
        </w:rPr>
        <w:t>d</w:t>
      </w:r>
      <w:r w:rsidR="008527D2">
        <w:rPr>
          <w:rFonts w:ascii="Arial" w:hAnsi="Arial" w:cs="Arial"/>
          <w:color w:val="000000"/>
          <w:sz w:val="22"/>
          <w:szCs w:val="22"/>
        </w:rPr>
        <w:t xml:space="preserve">-dimensional space, with </w:t>
      </w:r>
      <w:r>
        <w:rPr>
          <w:rFonts w:ascii="Arial" w:hAnsi="Arial" w:cs="Arial"/>
          <w:color w:val="000000"/>
          <w:sz w:val="22"/>
          <w:szCs w:val="22"/>
        </w:rPr>
        <w:t xml:space="preserve">their position determined by the combination of phenotypes represented by that particular organism. An organism’s absolute fitness in a particular environment is determined by a function </w:t>
      </w:r>
      <w:r w:rsidR="00E53292">
        <w:rPr>
          <w:rFonts w:ascii="Arial" w:hAnsi="Arial" w:cs="Arial"/>
          <w:color w:val="000000"/>
          <w:sz w:val="22"/>
          <w:szCs w:val="22"/>
        </w:rPr>
        <w:t>of its distance from an optimal phenotype</w:t>
      </w:r>
      <w:r w:rsidR="00514E6A">
        <w:rPr>
          <w:rFonts w:ascii="Arial" w:hAnsi="Arial" w:cs="Arial"/>
          <w:color w:val="000000"/>
          <w:sz w:val="22"/>
          <w:szCs w:val="22"/>
        </w:rPr>
        <w:t xml:space="preserve">. </w:t>
      </w:r>
    </w:p>
    <w:p w14:paraId="1AB30A18" w14:textId="7ED3AF63" w:rsidR="00D61852" w:rsidRDefault="00E111CB"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Our implementation of the model makes some inherent assumptions about the fitness function that determines fitness in each environment. First, it assumes that each trait contributes independently to fitness in any given environment – this can be done by transforming the space if considering a single optimum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"10.1111/j.0014-3820.2006.tb01169.x", "ISBN" : "0014-3820 (Print)\\r0014-3820 (Linking)", "ISSN" : "0014-3820", "PMID" : "16817531", "abstract" : "The evolution of complex organisms is a puzzle for evolutionary theory because beneficial mutations should be less frequent in complex organisms, an effect termed \"cost of complexity.\" However, little is known about how the distribution of mutation fitness effects (f(s)) varies across genomes. The main theoretical framework to address this issue is Fisher's geometric model and related phenotypic landscape models. However, it suffers from several restrictive assumptions. In this paper, we intend to show how several of these limitations may be overcome. We then propose a model of f(s) that extends Fisher's model to account for arbitrary mutational and selective interactions among n traits. We show that these interactions result in f(s) that would be predicted by a much smaller number of independent traits. We test our predictions by comparing empirical f(s) across species of various gene numbers as a surrogate to complexity. This survey reveals, as predicted, that mutations tend to be more deleterious, less variable, and less skewed in higher organisms. However, only limited difference in the shape of f(s) is observed from Escherichia coli to nematodes or fruit flies, a pattern consistent with a model of random phenotypic interactions across many traits. Overall, these results suggest that there may be a cost to phenotypic complexity although much weaker than previously suggested by earlier theoretical works. More generally, the model seems to qualitatively capture and possibly explain the variation of f(s) from lower to higher organisms, which opens a large array of potential applications in evolutionary genetics.", "author" : [ { "dropping-particle" : "", "family" : "Martin", "given" : "Guillaume", "non-dropping-particle" : "", "parse-names" : false, "suffix" : "" }, { "dropping-particle" : "", "family" : "Lenormand", "given" : "Thomas", "non-dropping-particle" : "", "parse-names" : false, "suffix" : "" } ], "container-title" : "Evolution; international journal of organic evolution", "id" : "ITEM-1", "issue" : "5", "issued" : { "date-parts" : [ [ "2006" ] ] }, "note" : "General summary: Use Fisher's Geomertic model to predict the distribution of fitness effects and use the DFE to estimate parameters of FGM, notably n_e (the effective number of dimensions if all contributed equally to fitness). Find ~1 effective dimension in yeast in MA lines.\n\nWhat's missing: The paper mostly assumes a stabilizing selection model in which the ancestral individual/population is at the fitness optimum (and all mutations are jumps from this optimum). The authors claim this could be used for general purpose and estimating far from the optimum, but requires the distance to the optimum (which requires extensive knowledge or a long term evolution experiment). But even this method requires the use of deleterious mutations to estimate n_e and lambda_e (the effective contribution of each trait to fitness). \n\nSimilarities: Using a transformed space such that all traits contribute equally to fitness (this may be a useful reference for why that's justified/other people who have done this). However, we do not necessarily assume uniform mutation space (I think).\n\nMethod: Since FGM needs uniform mutation and non-interacting selection components, the paper shows that you can take any set of positive semidefinite biased matrics M and S (basically requiring no mutation performing better than the optimum) and transform the resultant SM to a set of matrices where mutation is given by the Identity and the selection matrix is diagonal (with eigenvalues as the diagonal entries) that reflect the relative contribution of each &amp;quot;trait&amp;quot; in this transformed world.\n\nFrom this transformed space, you can infer the moments of the DFE. \n\nThis also gives you the power to go backwards, taking the moments and inferring elements of the transformed space (notably the moments of the distribution of eigenvalues number of traits).\n\nThe authors use n_e, which is the effective number of dimensions if all traits contributed equally to fitness.\n\nResults: From MA lines, empirical estimates of DFE and n_e for various species. n_e tends to modestly increase with gene count (they use as rough proxy for &amp;quot;complexity&amp;quot; - thus claiming that the cost of complexity, though present, is relatively weak). Moreover, for S. cerevisae, estimates between 0.89 and 1.78 for effective number of dimensions.\n\n\nQuestions: How should we think of &amp;quot;effective&amp;quot; number of dimensions? There's effectively one dimension (with reasonable effect) that's ever perturbed by mutation? What effect size is this sensitive too? Which values of $\\mu s$?", "page" : "893-907", "title" : "A general multivariate extension of Fisher's geometrical model and the distribution of mutation fitness effects across species.", "type" : "article-journal", "volume" : "60" }, "uris" : [ "http://www.mendeley.com/documents/?uuid=2a43856e-6691-45f3-bfdc-9055de1bd597" ] } ], "mendeley" : { "formattedCitation" : "(Martin &amp; Lenormand 2006)", "plainTextFormattedCitation" : "(Martin &amp; Lenormand 2006)" }, "properties" : { "noteIndex" : 0 }, "schema" : "https://github.com/citation-style-language/schema/raw/master/csl-citation.json" }</w:instrText>
      </w:r>
      <w:r>
        <w:rPr>
          <w:rFonts w:ascii="Arial" w:hAnsi="Arial" w:cs="Arial"/>
          <w:color w:val="000000"/>
          <w:sz w:val="22"/>
          <w:szCs w:val="22"/>
        </w:rPr>
        <w:fldChar w:fldCharType="separate"/>
      </w:r>
      <w:r w:rsidRPr="00E111CB">
        <w:rPr>
          <w:rFonts w:ascii="Arial" w:hAnsi="Arial" w:cs="Arial"/>
          <w:noProof/>
          <w:color w:val="000000"/>
          <w:sz w:val="22"/>
          <w:szCs w:val="22"/>
        </w:rPr>
        <w:t>(Martin &amp; Lenormand 2006)</w:t>
      </w:r>
      <w:r>
        <w:rPr>
          <w:rFonts w:ascii="Arial" w:hAnsi="Arial" w:cs="Arial"/>
          <w:color w:val="000000"/>
          <w:sz w:val="22"/>
          <w:szCs w:val="22"/>
        </w:rPr>
        <w:fldChar w:fldCharType="end"/>
      </w:r>
      <w:r>
        <w:rPr>
          <w:rFonts w:ascii="Arial" w:hAnsi="Arial" w:cs="Arial"/>
          <w:color w:val="000000"/>
          <w:sz w:val="22"/>
          <w:szCs w:val="22"/>
        </w:rPr>
        <w:t>, b</w:t>
      </w:r>
      <w:commentRangeStart w:id="3"/>
      <w:r>
        <w:rPr>
          <w:rFonts w:ascii="Arial" w:hAnsi="Arial" w:cs="Arial"/>
          <w:color w:val="000000"/>
          <w:sz w:val="22"/>
          <w:szCs w:val="22"/>
        </w:rPr>
        <w:t xml:space="preserve">ut is not generally true if the interactions between traits differ between conditions. </w:t>
      </w:r>
      <w:commentRangeEnd w:id="3"/>
      <w:r>
        <w:rPr>
          <w:rStyle w:val="CommentReference"/>
        </w:rPr>
        <w:commentReference w:id="3"/>
      </w:r>
      <w:r>
        <w:rPr>
          <w:rFonts w:ascii="Arial" w:hAnsi="Arial" w:cs="Arial"/>
          <w:color w:val="000000"/>
          <w:sz w:val="22"/>
          <w:szCs w:val="22"/>
        </w:rPr>
        <w:t xml:space="preserve">Second, each trait is rescaled such that they have equal effect on fitness in a given condition. We assume this scaling holds for all conditions. </w:t>
      </w:r>
    </w:p>
    <w:p w14:paraId="6295260C" w14:textId="20F60B9C" w:rsidR="00D03ABE" w:rsidRPr="00D03ABE" w:rsidRDefault="00D03ABE" w:rsidP="008F4A97">
      <w:pPr>
        <w:widowControl w:val="0"/>
        <w:autoSpaceDE w:val="0"/>
        <w:autoSpaceDN w:val="0"/>
        <w:adjustRightInd w:val="0"/>
        <w:spacing w:after="240" w:line="288" w:lineRule="auto"/>
        <w:rPr>
          <w:rFonts w:ascii="Arial" w:hAnsi="Arial" w:cs="Arial"/>
          <w:i/>
          <w:color w:val="000000"/>
          <w:sz w:val="22"/>
          <w:szCs w:val="22"/>
        </w:rPr>
      </w:pPr>
      <w:r w:rsidRPr="00D03ABE">
        <w:rPr>
          <w:rFonts w:ascii="Arial" w:hAnsi="Arial" w:cs="Arial"/>
          <w:i/>
          <w:color w:val="000000"/>
          <w:sz w:val="22"/>
          <w:szCs w:val="22"/>
        </w:rPr>
        <w:t>Simulation Methods</w:t>
      </w:r>
    </w:p>
    <w:p w14:paraId="7C756034" w14:textId="2CA57470" w:rsidR="00D03ABE" w:rsidRDefault="00D03ABE" w:rsidP="00D03ABE">
      <w:pPr>
        <w:widowControl w:val="0"/>
        <w:autoSpaceDE w:val="0"/>
        <w:autoSpaceDN w:val="0"/>
        <w:adjustRightInd w:val="0"/>
        <w:spacing w:after="240" w:line="288" w:lineRule="auto"/>
        <w:rPr>
          <w:rFonts w:ascii="Arial" w:hAnsi="Arial" w:cs="Arial"/>
          <w:color w:val="000000"/>
          <w:sz w:val="22"/>
          <w:szCs w:val="22"/>
        </w:rPr>
      </w:pPr>
      <w:r>
        <w:rPr>
          <w:rFonts w:ascii="Helvetica Neue" w:hAnsi="Helvetica Neue" w:cs="Helvetica Neue"/>
          <w:color w:val="000000"/>
          <w:sz w:val="22"/>
          <w:szCs w:val="22"/>
        </w:rPr>
        <w:t>T</w:t>
      </w:r>
      <w:r>
        <w:rPr>
          <w:rFonts w:ascii="Arial" w:hAnsi="Arial" w:cs="Arial"/>
          <w:color w:val="000000"/>
          <w:sz w:val="22"/>
          <w:szCs w:val="22"/>
        </w:rPr>
        <w:t xml:space="preserve">o </w:t>
      </w:r>
      <w:r w:rsidR="00810FAF">
        <w:rPr>
          <w:rFonts w:ascii="Arial" w:hAnsi="Arial" w:cs="Arial"/>
          <w:color w:val="000000"/>
          <w:sz w:val="22"/>
          <w:szCs w:val="22"/>
        </w:rPr>
        <w:t>test our</w:t>
      </w:r>
      <w:r>
        <w:rPr>
          <w:rFonts w:ascii="Arial" w:hAnsi="Arial" w:cs="Arial"/>
          <w:color w:val="000000"/>
          <w:sz w:val="22"/>
          <w:szCs w:val="22"/>
        </w:rPr>
        <w:t xml:space="preserve"> method</w:t>
      </w:r>
      <w:r w:rsidR="00810FAF">
        <w:rPr>
          <w:rFonts w:ascii="Arial" w:hAnsi="Arial" w:cs="Arial"/>
          <w:color w:val="000000"/>
          <w:sz w:val="22"/>
          <w:szCs w:val="22"/>
        </w:rPr>
        <w:t xml:space="preserve"> for estimating the phenotypic space from fitness data</w:t>
      </w:r>
      <w:r>
        <w:rPr>
          <w:rFonts w:ascii="Arial" w:hAnsi="Arial" w:cs="Arial"/>
          <w:color w:val="000000"/>
          <w:sz w:val="22"/>
          <w:szCs w:val="22"/>
        </w:rPr>
        <w:t xml:space="preserve">, we perform a simulation study. First, we simulate data that fits our phenotypic model and then feed the corresponding data into our method to infer the phenotype space and number of fitness-relevant phenotypes. To do this, we simulate an n−dimensional phenotype space by randomly placing the ancestor on the surface of the n−ball of unit distance. Then, we randomly generate “mutants” by sampling uniformly within the n−ball, to simulate only adaptive mutations. Finally, we randomly sample locations for the optima for new conditions in a ball of smaller radius, to simulate subtle environmental perturbations. We now have a set of mutants and conditions, for which we can generate relative fitness data by calculating a fitness function on this phenotype space for each mutant in each condition. For simplicity and consistency with previous literature, we start with a Gaussian function of distance. </w:t>
      </w:r>
    </w:p>
    <w:p w14:paraId="69C38F1C" w14:textId="6E46B99B" w:rsidR="0062520A" w:rsidRDefault="0062520A" w:rsidP="00D03ABE">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To keep our simulation data realistic, we also simulate</w:t>
      </w:r>
      <w:r w:rsidR="006821EB">
        <w:rPr>
          <w:rFonts w:ascii="Arial" w:hAnsi="Arial" w:cs="Arial"/>
          <w:color w:val="000000"/>
          <w:sz w:val="22"/>
          <w:szCs w:val="22"/>
        </w:rPr>
        <w:t xml:space="preserve"> Gaussian</w:t>
      </w:r>
      <w:r>
        <w:rPr>
          <w:rFonts w:ascii="Arial" w:hAnsi="Arial" w:cs="Arial"/>
          <w:color w:val="000000"/>
          <w:sz w:val="22"/>
          <w:szCs w:val="22"/>
        </w:rPr>
        <w:t xml:space="preserve"> measurement noise to ensure our estimation can properly handle realistic levels of noise from fitness measurement studies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"10.1016/j.cell.2016.08.002", "ISBN" : "0092-8674", "ISSN" : "10974172", "PMID" : "27594428", "abstract" : "Adaptive evolution plays a large role in generating the phenotypic diversity observed in nature, yet current methods are impractical for characterizing the molecular basis and fitness effects of large numbers of individual adaptive mutations. Here, we used a DNA barcoding approach to generate the genotype-to-fitness map for adaptation-driving mutations from a Saccharomyces cerevisiae population experimentally evolved by serial transfer under limiting glucose. We isolated and measured the fitness of thousands of independent adaptive clones and sequenced the genomes of hundreds of clones. We found only two major classes of adaptive mutations: self-diploidization and mutations in the nutrient-responsive Ras/PKA and TOR/Sch9 pathways. Our large sample size and precision of measurement allowed us to determine that there are significant differences in fitness between mutations in different genes, between different paralogs, and even between different classes of mutations within the same gene.", "author" : [ { "dropping-particle" : "", "family" : "Venkataram", "given" : "Sandeep", "non-dropping-particle" : "", "parse-names" : false, "suffix" : "" }, { "dropping-particle" : "", "family" : "Dunn", "given" : "Barbara", "non-dropping-particle" : "", "parse-names" : false, "suffix" : "" }, { "dropping-particle" : "", "family" : "Li", "given" : "Yuping", "non-dropping-particle" : "", "parse-names" : false, "suffix" : "" }, { "dropping-particle" : "", "family" : "Agarwala", "given" : "Atish", "non-dropping-particle" : "", "parse-names" : false, "suffix" : "" }, { "dropping-particle" : "", "family" : "Chang", "given" : "Jessica", "non-dropping-particle" : "", "parse-names" : false, "suffix" : "" }, { "dropping-particle" : "", "family" : "Ebel", "given" : "Emily R", "non-dropping-particle" : "", "parse-names" : false, "suffix" : "" }, { "dropping-particle" : "", "family" : "Geiler-Samerotte", "given" : "Kerry", "non-dropping-particle" : "", "parse-names" : false, "suffix" : "" }, { "dropping-particle" : "", "family" : "Herissant", "given" : "Lucas", "non-dropping-particle" : "", "parse-names" : false, "suffix" : "" }, { "dropping-particle" : "", "family" : "Blundell", "given" : "Jamie R", "non-dropping-particle" : "", "parse-names" : false, "suffix" : "" }, { "dropping-particle" : "", "family" : "Levy", "given" : "Sasha F", "non-dropping-particle" : "", "parse-names" : false, "suffix" : "" }, { "dropping-particle" : "", "family" : "Fisher", "given" : "Daniel S", "non-dropping-particle" : "", "parse-names" : false, "suffix" : "" }, { "dropping-particle" : "", "family" : "Sherlock", "given" : "Gavin", "non-dropping-particle" : "", "parse-names" : false, "suffix" : "" }, { "dropping-particle" : "", "family" : "Petrov", "given" : "Dmitri A", "non-dropping-particle" : "", "parse-names" : false, "suffix" : "" } ], "container-title" : "Cell", "id" : "ITEM-1", "issue" : "6", "issued" : { "date-parts" : [ [ "2016" ] ] }, "page" : "1585-1596.e22", "title" : "Development of a Comprehensive Genotype-to-Fitness Map of Adaptation-Driving Mutations in Yeast", "type" : "article-journal", "volume" : "166" }, "uris" : [ "http://www.mendeley.com/documents/?uuid=0a8a7b43-a21c-41aa-a322-353ee0ec7e55" ] } ], "mendeley" : { "formattedCitation" : "(Venkataram et al. 2016)", "plainTextFormattedCitation" : "(Venkataram et al. 2016)", "previouslyFormattedCitation" : "(Venkataram et al. 2016)"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(Venkataram et al. 2016)</w:t>
      </w:r>
      <w:r>
        <w:rPr>
          <w:rFonts w:ascii="Arial" w:hAnsi="Arial" w:cs="Arial"/>
          <w:color w:val="000000"/>
          <w:sz w:val="22"/>
          <w:szCs w:val="22"/>
        </w:rPr>
        <w:fldChar w:fldCharType="end"/>
      </w:r>
      <w:r>
        <w:rPr>
          <w:rFonts w:ascii="Arial" w:hAnsi="Arial" w:cs="Arial"/>
          <w:color w:val="000000"/>
          <w:sz w:val="22"/>
          <w:szCs w:val="22"/>
        </w:rPr>
        <w:t>.</w:t>
      </w:r>
    </w:p>
    <w:p w14:paraId="0EE18343" w14:textId="481C9D0F" w:rsidR="00D03ABE" w:rsidRDefault="00D03ABE" w:rsidP="008F4A97">
      <w:pPr>
        <w:widowControl w:val="0"/>
        <w:autoSpaceDE w:val="0"/>
        <w:autoSpaceDN w:val="0"/>
        <w:adjustRightInd w:val="0"/>
        <w:spacing w:after="240" w:line="288" w:lineRule="auto"/>
        <w:rPr>
          <w:rFonts w:ascii="Arial" w:hAnsi="Arial" w:cs="Arial"/>
          <w:i/>
          <w:color w:val="000000"/>
          <w:sz w:val="22"/>
          <w:szCs w:val="22"/>
        </w:rPr>
      </w:pPr>
      <w:r w:rsidRPr="00D03ABE">
        <w:rPr>
          <w:rFonts w:ascii="Arial" w:hAnsi="Arial" w:cs="Arial"/>
          <w:i/>
          <w:color w:val="000000"/>
          <w:sz w:val="22"/>
          <w:szCs w:val="22"/>
        </w:rPr>
        <w:t xml:space="preserve">Estimation </w:t>
      </w:r>
      <w:commentRangeStart w:id="4"/>
      <w:r w:rsidRPr="00D03ABE">
        <w:rPr>
          <w:rFonts w:ascii="Arial" w:hAnsi="Arial" w:cs="Arial"/>
          <w:i/>
          <w:color w:val="000000"/>
          <w:sz w:val="22"/>
          <w:szCs w:val="22"/>
        </w:rPr>
        <w:t>Methods</w:t>
      </w:r>
      <w:commentRangeEnd w:id="4"/>
      <w:r w:rsidR="003F1DFD">
        <w:rPr>
          <w:rStyle w:val="CommentReference"/>
        </w:rPr>
        <w:commentReference w:id="4"/>
      </w:r>
    </w:p>
    <w:p w14:paraId="7FCE826D" w14:textId="4C3B34A1" w:rsidR="003F1DFD" w:rsidRDefault="008E4F25"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To infer the phenotypic space of our model from a set of mutants, we use</w:t>
      </w:r>
      <w:r w:rsidR="00CC0C0C">
        <w:rPr>
          <w:rFonts w:ascii="Arial" w:hAnsi="Arial" w:cs="Arial"/>
          <w:color w:val="000000"/>
          <w:sz w:val="22"/>
          <w:szCs w:val="22"/>
        </w:rPr>
        <w:t xml:space="preserve"> an optimization technique on the</w:t>
      </w:r>
      <w:r>
        <w:rPr>
          <w:rFonts w:ascii="Arial" w:hAnsi="Arial" w:cs="Arial"/>
          <w:color w:val="000000"/>
          <w:sz w:val="22"/>
          <w:szCs w:val="22"/>
        </w:rPr>
        <w:t xml:space="preserve"> relative fitness values</w:t>
      </w:r>
      <w:r w:rsidR="00CC0C0C">
        <w:rPr>
          <w:rFonts w:ascii="Arial" w:hAnsi="Arial" w:cs="Arial"/>
          <w:color w:val="000000"/>
          <w:sz w:val="22"/>
          <w:szCs w:val="22"/>
        </w:rPr>
        <w:t xml:space="preserve"> of the set of mutants</w:t>
      </w:r>
      <w:r>
        <w:rPr>
          <w:rFonts w:ascii="Arial" w:hAnsi="Arial" w:cs="Arial"/>
          <w:color w:val="000000"/>
          <w:sz w:val="22"/>
          <w:szCs w:val="22"/>
        </w:rPr>
        <w:t xml:space="preserve"> across subtle environmental perturbat</w:t>
      </w:r>
      <w:r w:rsidR="00CC0C0C">
        <w:rPr>
          <w:rFonts w:ascii="Arial" w:hAnsi="Arial" w:cs="Arial"/>
          <w:color w:val="000000"/>
          <w:sz w:val="22"/>
          <w:szCs w:val="22"/>
        </w:rPr>
        <w:t xml:space="preserve">ions. For a given number of traits </w:t>
      </w:r>
      <w:r w:rsidR="00CC0C0C">
        <w:rPr>
          <w:rFonts w:ascii="Arial" w:hAnsi="Arial" w:cs="Arial"/>
          <w:i/>
          <w:color w:val="000000"/>
          <w:sz w:val="22"/>
          <w:szCs w:val="22"/>
        </w:rPr>
        <w:t>D</w:t>
      </w:r>
      <w:r w:rsidR="00CC0C0C">
        <w:rPr>
          <w:rFonts w:ascii="Arial" w:hAnsi="Arial" w:cs="Arial"/>
          <w:color w:val="000000"/>
          <w:sz w:val="22"/>
          <w:szCs w:val="22"/>
        </w:rPr>
        <w:t>, we aim to find the positions of mutants, optima, and the ancestor that best fits our relative fitness data. We do this by finding the parameters that minimize the function:</w:t>
      </w:r>
    </w:p>
    <w:p w14:paraId="0F87E21E" w14:textId="2972FB8A" w:rsidR="00505574" w:rsidRPr="00505574" w:rsidRDefault="00760C9E" w:rsidP="00505574">
      <w:pPr>
        <w:keepNext/>
        <w:widowControl w:val="0"/>
        <w:autoSpaceDE w:val="0"/>
        <w:autoSpaceDN w:val="0"/>
        <w:adjustRightInd w:val="0"/>
        <w:spacing w:after="240" w:line="288" w:lineRule="auto"/>
      </w:pPr>
      <m:oMathPara>
        <m:oMath>
          <m:eqArr>
            <m:eqArrPr>
              <m:maxDist m:val="1"/>
              <m:ctrlPr>
                <w:rPr>
                  <w:rFonts w:ascii="Cambria Math" w:hAnsi="Cambria Math" w:cs="Arial"/>
                  <w:i/>
                  <w:color w:val="000000"/>
                  <w:sz w:val="22"/>
                  <w:szCs w:val="22"/>
                </w:rPr>
              </m:ctrlPr>
            </m:eqArrPr>
            <m:e>
              <m:r>
                <w:rPr>
                  <w:rFonts w:ascii="Cambria Math" w:hAnsi="Cambria Math" w:cs="Arial"/>
                  <w:color w:val="000000"/>
                  <w:sz w:val="22"/>
                  <w:szCs w:val="22"/>
                </w:rPr>
                <m:t>S</m:t>
              </m:r>
              <m:d>
                <m:dPr>
                  <m:ctrlPr>
                    <w:rPr>
                      <w:rFonts w:ascii="Cambria Math" w:hAnsi="Cambria Math" w:cs="Arial"/>
                      <w:i/>
                      <w:color w:val="000000"/>
                      <w:sz w:val="22"/>
                      <w:szCs w:val="22"/>
                    </w:rPr>
                  </m:ctrlPr>
                </m:dPr>
                <m:e>
                  <m:r>
                    <w:rPr>
                      <w:rFonts w:ascii="Cambria Math" w:hAnsi="Cambria Math" w:cs="Arial"/>
                      <w:color w:val="000000"/>
                      <w:sz w:val="22"/>
                      <w:szCs w:val="22"/>
                    </w:rPr>
                    <m:t>x,o,a | f,ϵ</m:t>
                  </m:r>
                </m:e>
              </m:d>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j=1</m:t>
                  </m:r>
                </m:sub>
                <m:sup>
                  <m:r>
                    <w:rPr>
                      <w:rFonts w:ascii="Cambria Math" w:hAnsi="Cambria Math" w:cs="Arial"/>
                      <w:color w:val="000000"/>
                      <w:sz w:val="22"/>
                      <w:szCs w:val="22"/>
                    </w:rPr>
                    <m:t>M</m:t>
                  </m:r>
                </m:sup>
                <m:e>
                  <m:nary>
                    <m:naryPr>
                      <m:chr m:val="∑"/>
                      <m:ctrlPr>
                        <w:rPr>
                          <w:rFonts w:ascii="Cambria Math" w:hAnsi="Cambria Math" w:cs="Arial"/>
                          <w:i/>
                          <w:color w:val="000000"/>
                          <w:sz w:val="22"/>
                          <w:szCs w:val="22"/>
                        </w:rPr>
                      </m:ctrlPr>
                    </m:naryPr>
                    <m:sub>
                      <m:r>
                        <w:rPr>
                          <w:rFonts w:ascii="Cambria Math" w:hAnsi="Cambria Math" w:cs="Arial"/>
                          <w:color w:val="000000"/>
                          <w:sz w:val="22"/>
                          <w:szCs w:val="22"/>
                        </w:rPr>
                        <m:t>k=1</m:t>
                      </m:r>
                    </m:sub>
                    <m:sup>
                      <m:r>
                        <w:rPr>
                          <w:rFonts w:ascii="Cambria Math" w:hAnsi="Cambria Math" w:cs="Arial"/>
                          <w:color w:val="000000"/>
                          <w:sz w:val="22"/>
                          <w:szCs w:val="22"/>
                        </w:rPr>
                        <m:t>C</m:t>
                      </m:r>
                    </m:sup>
                    <m:e>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sSup>
                        <m:sSupPr>
                          <m:ctrlPr>
                            <w:rPr>
                              <w:rFonts w:ascii="Cambria Math" w:hAnsi="Cambria Math" w:cs="Arial"/>
                              <w:i/>
                              <w:color w:val="000000"/>
                              <w:sz w:val="22"/>
                              <w:szCs w:val="22"/>
                            </w:rPr>
                          </m:ctrlPr>
                        </m:sSupPr>
                        <m:e>
                          <m:d>
                            <m:dPr>
                              <m:begChr m:val="["/>
                              <m:endChr m:val="]"/>
                              <m:ctrlPr>
                                <w:rPr>
                                  <w:rFonts w:ascii="Cambria Math" w:hAnsi="Cambria Math" w:cs="Arial"/>
                                  <w:i/>
                                  <w:color w:val="000000"/>
                                  <w:sz w:val="22"/>
                                  <w:szCs w:val="22"/>
                                </w:rPr>
                              </m:ctrlPr>
                            </m:dPr>
                            <m:e>
                              <m:d>
                                <m:dPr>
                                  <m:ctrlPr>
                                    <w:rPr>
                                      <w:rFonts w:ascii="Cambria Math" w:hAnsi="Cambria Math" w:cs="Arial"/>
                                      <w:i/>
                                      <w:color w:val="000000"/>
                                      <w:sz w:val="22"/>
                                      <w:szCs w:val="22"/>
                                    </w:rPr>
                                  </m:ctrlPr>
                                </m:dPr>
                                <m:e>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a</m:t>
                                                  </m:r>
                                                </m:e>
                                                <m:sub>
                                                  <m:r>
                                                    <w:rPr>
                                                      <w:rFonts w:ascii="Cambria Math" w:hAnsi="Cambria Math" w:cs="Arial"/>
                                                      <w:color w:val="000000"/>
                                                      <w:sz w:val="22"/>
                                                      <w:szCs w:val="22"/>
                                                    </w:rPr>
                                                    <m:t>i</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e>
                              </m:d>
                              <m:r>
                                <w:rPr>
                                  <w:rFonts w:ascii="Cambria Math" w:hAnsi="Cambria Math" w:cs="Arial"/>
                                  <w:color w:val="000000"/>
                                  <w:sz w:val="22"/>
                                  <w:szCs w:val="22"/>
                                </w:rPr>
                                <m:t>-2</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func>
                                <m:funcPr>
                                  <m:ctrlPr>
                                    <w:rPr>
                                      <w:rFonts w:ascii="Cambria Math" w:hAnsi="Cambria Math" w:cs="Arial"/>
                                      <w:color w:val="000000"/>
                                      <w:sz w:val="22"/>
                                      <w:szCs w:val="22"/>
                                    </w:rPr>
                                  </m:ctrlPr>
                                </m:funcPr>
                                <m:fName>
                                  <m:r>
                                    <m:rPr>
                                      <m:sty m:val="p"/>
                                    </m:rPr>
                                    <w:rPr>
                                      <w:rFonts w:ascii="Cambria Math" w:hAnsi="Cambria Math" w:cs="Arial"/>
                                      <w:color w:val="000000"/>
                                      <w:sz w:val="22"/>
                                      <w:szCs w:val="22"/>
                                    </w:rPr>
                                    <m:t>log</m:t>
                                  </m:r>
                                </m:fName>
                                <m:e>
                                  <m:d>
                                    <m:dPr>
                                      <m:begChr m:val="["/>
                                      <m:endChr m:val="]"/>
                                      <m:ctrlPr>
                                        <w:rPr>
                                          <w:rFonts w:ascii="Cambria Math" w:hAnsi="Cambria Math" w:cs="Arial"/>
                                          <w:i/>
                                          <w:color w:val="000000"/>
                                          <w:sz w:val="22"/>
                                          <w:szCs w:val="22"/>
                                        </w:rPr>
                                      </m:ctrlPr>
                                    </m:dPr>
                                    <m:e>
                                      <m:r>
                                        <w:rPr>
                                          <w:rFonts w:ascii="Cambria Math" w:hAnsi="Cambria Math" w:cs="Arial"/>
                                          <w:color w:val="000000"/>
                                          <w:sz w:val="22"/>
                                          <w:szCs w:val="22"/>
                                        </w:rPr>
                                        <m:t>1+</m:t>
                                      </m:r>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e>
                                  </m:d>
                                </m:e>
                              </m:func>
                            </m:e>
                          </m:d>
                        </m:e>
                        <m:sup>
                          <m:r>
                            <w:rPr>
                              <w:rFonts w:ascii="Cambria Math" w:hAnsi="Cambria Math" w:cs="Arial"/>
                              <w:color w:val="000000"/>
                              <w:sz w:val="22"/>
                              <w:szCs w:val="22"/>
                            </w:rPr>
                            <m:t>2</m:t>
                          </m:r>
                        </m:sup>
                      </m:sSup>
                    </m:e>
                  </m:nary>
                </m:e>
              </m:nary>
              <m:r>
                <w:rPr>
                  <w:rFonts w:ascii="Cambria Math" w:hAnsi="Cambria Math" w:cs="Arial"/>
                  <w:color w:val="000000"/>
                  <w:sz w:val="22"/>
                  <w:szCs w:val="22"/>
                </w:rPr>
                <m:t>#</m:t>
              </m:r>
              <m:d>
                <m:dPr>
                  <m:ctrlPr>
                    <w:rPr>
                      <w:rFonts w:ascii="Cambria Math" w:hAnsi="Cambria Math" w:cs="Arial"/>
                      <w:i/>
                      <w:color w:val="000000"/>
                      <w:sz w:val="22"/>
                      <w:szCs w:val="22"/>
                    </w:rPr>
                  </m:ctrlPr>
                </m:dPr>
                <m:e>
                  <m:r>
                    <w:rPr>
                      <w:rFonts w:ascii="Cambria Math" w:hAnsi="Cambria Math" w:cs="Arial"/>
                      <w:color w:val="000000"/>
                      <w:sz w:val="22"/>
                      <w:szCs w:val="22"/>
                    </w:rPr>
                    <m:t>1</m:t>
                  </m:r>
                </m:e>
              </m:d>
            </m:e>
          </m:eqArr>
        </m:oMath>
      </m:oMathPara>
    </w:p>
    <w:p w14:paraId="6C6CD5AC" w14:textId="79C7A4C8" w:rsidR="00505574" w:rsidRDefault="00512255" w:rsidP="008F4A97">
      <w:pPr>
        <w:widowControl w:val="0"/>
        <w:autoSpaceDE w:val="0"/>
        <w:autoSpaceDN w:val="0"/>
        <w:adjustRightInd w:val="0"/>
        <w:spacing w:after="240" w:line="288" w:lineRule="auto"/>
        <w:rPr>
          <w:rFonts w:ascii="Arial" w:eastAsiaTheme="minorEastAsia" w:hAnsi="Arial" w:cs="Arial"/>
          <w:color w:val="000000"/>
          <w:sz w:val="22"/>
          <w:szCs w:val="22"/>
        </w:rPr>
      </w:pPr>
      <w:r>
        <w:rPr>
          <w:rFonts w:ascii="Arial" w:hAnsi="Arial" w:cs="Arial"/>
          <w:color w:val="000000"/>
          <w:sz w:val="22"/>
          <w:szCs w:val="22"/>
        </w:rPr>
        <w:t xml:space="preserve">where </w:t>
      </w:r>
      <m:oMath>
        <m:r>
          <w:rPr>
            <w:rFonts w:ascii="Cambria Math" w:hAnsi="Cambria Math" w:cs="Arial"/>
            <w:color w:val="000000"/>
            <w:sz w:val="22"/>
            <w:szCs w:val="22"/>
          </w:rPr>
          <m:t>x</m:t>
        </m:r>
      </m:oMath>
      <w:r>
        <w:rPr>
          <w:rFonts w:ascii="Arial" w:eastAsiaTheme="minorEastAsia" w:hAnsi="Arial" w:cs="Arial"/>
          <w:color w:val="000000"/>
          <w:sz w:val="22"/>
          <w:szCs w:val="22"/>
        </w:rPr>
        <w:t>,</w:t>
      </w:r>
      <m:oMath>
        <m:r>
          <w:rPr>
            <w:rFonts w:ascii="Cambria Math" w:hAnsi="Cambria Math" w:cs="Arial"/>
            <w:color w:val="000000"/>
            <w:sz w:val="22"/>
            <w:szCs w:val="22"/>
          </w:rPr>
          <m:t xml:space="preserve"> o</m:t>
        </m:r>
      </m:oMath>
      <w:r>
        <w:rPr>
          <w:rFonts w:ascii="Arial" w:eastAsiaTheme="minorEastAsia" w:hAnsi="Arial" w:cs="Arial"/>
          <w:color w:val="000000"/>
          <w:sz w:val="22"/>
          <w:szCs w:val="22"/>
        </w:rPr>
        <w:t xml:space="preserve">, and </w:t>
      </w:r>
      <m:oMath>
        <m:r>
          <w:rPr>
            <w:rFonts w:ascii="Cambria Math" w:eastAsiaTheme="minorEastAsia" w:hAnsi="Cambria Math" w:cs="Arial"/>
            <w:color w:val="000000"/>
            <w:sz w:val="22"/>
            <w:szCs w:val="22"/>
          </w:rPr>
          <m:t>a</m:t>
        </m:r>
      </m:oMath>
      <w:r>
        <w:rPr>
          <w:rFonts w:ascii="Arial" w:hAnsi="Arial" w:cs="Arial"/>
          <w:color w:val="000000"/>
          <w:sz w:val="22"/>
          <w:szCs w:val="22"/>
        </w:rPr>
        <w:t xml:space="preserve"> represent the locations of the mutants, optima, and ancestor, respectively. </w:t>
      </w:r>
      <m:oMath>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oMath>
      <w:r>
        <w:rPr>
          <w:rFonts w:ascii="Arial" w:hAnsi="Arial" w:cs="Arial"/>
          <w:color w:val="000000"/>
          <w:sz w:val="22"/>
          <w:szCs w:val="22"/>
        </w:rPr>
        <w:t xml:space="preserve"> is the measured relative fitness of mutant </w:t>
      </w:r>
      <m:oMath>
        <m:r>
          <w:rPr>
            <w:rFonts w:ascii="Cambria Math" w:hAnsi="Cambria Math" w:cs="Arial"/>
            <w:color w:val="000000"/>
            <w:sz w:val="22"/>
            <w:szCs w:val="22"/>
          </w:rPr>
          <m:t>j</m:t>
        </m:r>
      </m:oMath>
      <w:r>
        <w:rPr>
          <w:rFonts w:ascii="Arial" w:hAnsi="Arial" w:cs="Arial"/>
          <w:color w:val="000000"/>
          <w:sz w:val="22"/>
          <w:szCs w:val="22"/>
        </w:rPr>
        <w:t xml:space="preserve"> in condition </w:t>
      </w:r>
      <m:oMath>
        <m:r>
          <w:rPr>
            <w:rFonts w:ascii="Cambria Math" w:hAnsi="Cambria Math" w:cs="Arial"/>
            <w:color w:val="000000"/>
            <w:sz w:val="22"/>
            <w:szCs w:val="22"/>
          </w:rPr>
          <m:t>k</m:t>
        </m:r>
      </m:oMath>
      <w:r>
        <w:rPr>
          <w:rFonts w:ascii="Arial" w:hAnsi="Arial" w:cs="Arial"/>
          <w:color w:val="000000"/>
          <w:sz w:val="22"/>
          <w:szCs w:val="22"/>
        </w:rPr>
        <w:t xml:space="preserve"> with </w:t>
      </w:r>
      <m:oMath>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oMath>
      <w:r>
        <w:rPr>
          <w:rFonts w:ascii="Arial" w:eastAsiaTheme="minorEastAsia" w:hAnsi="Arial" w:cs="Arial"/>
          <w:color w:val="000000"/>
          <w:sz w:val="22"/>
          <w:szCs w:val="22"/>
        </w:rPr>
        <w:t xml:space="preserve"> a relative measure of the </w:t>
      </w:r>
      <w:commentRangeStart w:id="5"/>
      <w:r>
        <w:rPr>
          <w:rFonts w:ascii="Arial" w:eastAsiaTheme="minorEastAsia" w:hAnsi="Arial" w:cs="Arial"/>
          <w:color w:val="000000"/>
          <w:sz w:val="22"/>
          <w:szCs w:val="22"/>
        </w:rPr>
        <w:t xml:space="preserve">measurement uncertainty (see SI). </w:t>
      </w:r>
      <w:commentRangeEnd w:id="5"/>
      <w:r w:rsidR="00E9642C">
        <w:rPr>
          <w:rStyle w:val="CommentReference"/>
        </w:rPr>
        <w:commentReference w:id="5"/>
      </w:r>
    </w:p>
    <w:p w14:paraId="3F7585B6" w14:textId="0A1046B0" w:rsidR="00165B69" w:rsidRDefault="00512255" w:rsidP="008F4A97">
      <w:pPr>
        <w:widowControl w:val="0"/>
        <w:autoSpaceDE w:val="0"/>
        <w:autoSpaceDN w:val="0"/>
        <w:adjustRightInd w:val="0"/>
        <w:spacing w:after="240" w:line="288" w:lineRule="auto"/>
        <w:rPr>
          <w:rFonts w:ascii="Arial" w:hAnsi="Arial" w:cs="Arial"/>
          <w:color w:val="000000"/>
          <w:sz w:val="22"/>
          <w:szCs w:val="22"/>
        </w:rPr>
      </w:pPr>
      <w:r>
        <w:rPr>
          <w:rFonts w:ascii="Arial" w:eastAsiaTheme="minorEastAsia" w:hAnsi="Arial" w:cs="Arial"/>
          <w:color w:val="000000"/>
          <w:sz w:val="22"/>
          <w:szCs w:val="22"/>
        </w:rPr>
        <w:t xml:space="preserve">Using a global optimization technique to find the parameter values minimize this score for each number of dimensions, </w:t>
      </w:r>
    </w:p>
    <w:p w14:paraId="395CA3FE" w14:textId="77777777" w:rsidR="008E4F25" w:rsidRDefault="008E4F25" w:rsidP="008E4F25">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To estimate the number of dimensions and avoid overfitting, we use a cross validation scheme (Fig 2). That is, we divide our data into 5 distinct sets (500 mutants into 5 groups of 100 and 60 conditions into 5 groups of 12). For each “fold” of the data, we exclude a set of mutants and conditions to use as a test set and first use the computational method to estimate the best space for the remaining set of data (See step 1 of Fig 2A.) for each value of D (the number of dimensions) we are interested in. If we were to only do this, we would expect the fit to continually increase as we increase the number of dimensions, because we will begin to fit measurement noise. Next, we fix this space and use only the locations of the original set of mutants as information to find the best location for the conditions in the test set (step 2a of Fig 2A), and separately, use the locations of the original set of conditions to find the best location for the mutants in the test set (step 2b). Finally, we evaluate the relative fitness values predicted from the estimated locations of the mutants and conditions in the test set that were placed independently (step 3). The model that has the best fit of the test set’s relative fitness values to the measured values is the correct number of dimensions that was not over-fit to the original data. This is repeated for each of the 5 test sets to ensure the best model prevails regardless of choice of test set. </w:t>
      </w:r>
    </w:p>
    <w:p w14:paraId="33F7F13C" w14:textId="550DE824" w:rsidR="008F4A97" w:rsidRDefault="008F4A97" w:rsidP="008F4A97">
      <w:pPr>
        <w:widowControl w:val="0"/>
        <w:autoSpaceDE w:val="0"/>
        <w:autoSpaceDN w:val="0"/>
        <w:adjustRightInd w:val="0"/>
        <w:spacing w:after="240" w:line="288" w:lineRule="auto"/>
        <w:rPr>
          <w:rFonts w:ascii="Arial" w:hAnsi="Arial" w:cs="Arial"/>
          <w:b/>
          <w:bCs/>
          <w:color w:val="000000"/>
          <w:sz w:val="22"/>
          <w:szCs w:val="22"/>
        </w:rPr>
      </w:pPr>
      <w:commentRangeStart w:id="6"/>
      <w:r>
        <w:rPr>
          <w:rFonts w:ascii="Arial" w:hAnsi="Arial" w:cs="Arial"/>
          <w:b/>
          <w:bCs/>
          <w:color w:val="000000"/>
          <w:sz w:val="22"/>
          <w:szCs w:val="22"/>
        </w:rPr>
        <w:t>Results</w:t>
      </w:r>
      <w:commentRangeEnd w:id="6"/>
      <w:r w:rsidR="00D03ABE">
        <w:rPr>
          <w:rStyle w:val="CommentReference"/>
        </w:rPr>
        <w:commentReference w:id="6"/>
      </w:r>
    </w:p>
    <w:p w14:paraId="773C3E92" w14:textId="1823CBBB" w:rsidR="00084EBA" w:rsidRDefault="00084EBA" w:rsidP="008F4A97">
      <w:pPr>
        <w:widowControl w:val="0"/>
        <w:autoSpaceDE w:val="0"/>
        <w:autoSpaceDN w:val="0"/>
        <w:adjustRightInd w:val="0"/>
        <w:spacing w:after="240" w:line="288" w:lineRule="auto"/>
        <w:rPr>
          <w:rFonts w:ascii="Arial" w:hAnsi="Arial" w:cs="Arial"/>
          <w:color w:val="000000"/>
          <w:sz w:val="22"/>
          <w:szCs w:val="22"/>
        </w:rPr>
      </w:pPr>
    </w:p>
    <w:p w14:paraId="22411189" w14:textId="03AC3C4F" w:rsidR="006559E7" w:rsidRDefault="006559E7" w:rsidP="008F4A97">
      <w:pPr>
        <w:widowControl w:val="0"/>
        <w:autoSpaceDE w:val="0"/>
        <w:autoSpaceDN w:val="0"/>
        <w:adjustRightInd w:val="0"/>
        <w:spacing w:after="240" w:line="288" w:lineRule="auto"/>
        <w:rPr>
          <w:rFonts w:ascii="Arial" w:hAnsi="Arial" w:cs="Arial"/>
          <w:color w:val="000000"/>
          <w:sz w:val="22"/>
          <w:szCs w:val="22"/>
        </w:rPr>
      </w:pPr>
    </w:p>
    <w:p w14:paraId="658B0AD7" w14:textId="11CC8B59" w:rsidR="00AB1A44" w:rsidRDefault="00AB1A44" w:rsidP="00DC20FE">
      <w:pPr>
        <w:widowControl w:val="0"/>
        <w:autoSpaceDE w:val="0"/>
        <w:autoSpaceDN w:val="0"/>
        <w:adjustRightInd w:val="0"/>
        <w:spacing w:after="240"/>
        <w:jc w:val="both"/>
        <w:rPr>
          <w:rFonts w:ascii="Arial" w:hAnsi="Arial" w:cs="Arial"/>
          <w:b/>
          <w:color w:val="000000"/>
          <w:sz w:val="20"/>
          <w:szCs w:val="20"/>
        </w:rPr>
      </w:pPr>
      <w:r>
        <w:rPr>
          <w:rFonts w:ascii="Arial" w:hAnsi="Arial" w:cs="Arial"/>
          <w:noProof/>
          <w:color w:val="000000"/>
          <w:sz w:val="22"/>
          <w:szCs w:val="22"/>
        </w:rPr>
        <w:drawing>
          <wp:anchor distT="0" distB="0" distL="114300" distR="114300" simplePos="0" relativeHeight="251659264" behindDoc="0" locked="0" layoutInCell="1" allowOverlap="1" wp14:anchorId="0F2FA0CE" wp14:editId="69E98358">
            <wp:simplePos x="0" y="0"/>
            <wp:positionH relativeFrom="column">
              <wp:posOffset>168275</wp:posOffset>
            </wp:positionH>
            <wp:positionV relativeFrom="paragraph">
              <wp:posOffset>346710</wp:posOffset>
            </wp:positionV>
            <wp:extent cx="5632450" cy="4233545"/>
            <wp:effectExtent l="0" t="0" r="6350" b="8255"/>
            <wp:wrapTopAndBottom/>
            <wp:docPr id="2" name="Picture 2" descr="../DissertationProposal/method_fig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sertationProposal/method_fig2.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2450" cy="4233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A68E32" w14:textId="0D7D0F9C" w:rsidR="006559E7" w:rsidRPr="00DC20FE" w:rsidRDefault="006559E7" w:rsidP="00DC20FE">
      <w:pPr>
        <w:widowControl w:val="0"/>
        <w:autoSpaceDE w:val="0"/>
        <w:autoSpaceDN w:val="0"/>
        <w:adjustRightInd w:val="0"/>
        <w:spacing w:after="240"/>
        <w:jc w:val="both"/>
        <w:rPr>
          <w:rFonts w:ascii="Arial" w:hAnsi="Arial" w:cs="Arial"/>
          <w:color w:val="000000"/>
          <w:sz w:val="20"/>
          <w:szCs w:val="20"/>
        </w:rPr>
      </w:pPr>
      <w:r w:rsidRPr="006559E7">
        <w:rPr>
          <w:rFonts w:ascii="Arial" w:hAnsi="Arial" w:cs="Arial"/>
          <w:b/>
          <w:color w:val="000000"/>
          <w:sz w:val="20"/>
          <w:szCs w:val="20"/>
        </w:rPr>
        <w:t>Figure 2. Cross validation scheme and simulation results. A.</w:t>
      </w:r>
      <w:r w:rsidRPr="006559E7">
        <w:rPr>
          <w:rFonts w:ascii="Arial" w:hAnsi="Arial" w:cs="Arial"/>
          <w:color w:val="000000"/>
          <w:sz w:val="20"/>
          <w:szCs w:val="20"/>
        </w:rPr>
        <w:t xml:space="preserve"> A representation of the cross validation scheme. First, we place a “training” set of optima and mutants in each d-dimensional space. Here, the fit of the model to the data will continuously increase as we add more dimensions. Second, we hold this space constant and place new optima using the information of the mutants in the training set and separately place new mutants using the optima in the training set. Finally, we evaluate the predicted fitness of the “test” set, which consists of the new, independently-placed optima and mutants. The fit of the model with the test set should decrease at some critical number of dimensions, representing where overfitting of the training set occurred, and serving as an estimate for the true underlying dimensionality. </w:t>
      </w:r>
      <w:commentRangeStart w:id="7"/>
      <w:r w:rsidRPr="006559E7">
        <w:rPr>
          <w:rFonts w:ascii="Arial" w:hAnsi="Arial" w:cs="Arial"/>
          <w:b/>
          <w:color w:val="000000"/>
          <w:sz w:val="20"/>
          <w:szCs w:val="20"/>
        </w:rPr>
        <w:t>B.</w:t>
      </w:r>
      <w:r w:rsidRPr="006559E7">
        <w:rPr>
          <w:rFonts w:ascii="Arial" w:hAnsi="Arial" w:cs="Arial"/>
          <w:color w:val="000000"/>
          <w:sz w:val="20"/>
          <w:szCs w:val="20"/>
        </w:rPr>
        <w:t xml:space="preserve"> Comparison </w:t>
      </w:r>
      <w:commentRangeEnd w:id="7"/>
      <w:r w:rsidR="00D03ABE">
        <w:rPr>
          <w:rStyle w:val="CommentReference"/>
        </w:rPr>
        <w:commentReference w:id="7"/>
      </w:r>
      <w:r w:rsidRPr="006559E7">
        <w:rPr>
          <w:rFonts w:ascii="Arial" w:hAnsi="Arial" w:cs="Arial"/>
          <w:color w:val="000000"/>
          <w:sz w:val="20"/>
          <w:szCs w:val="20"/>
        </w:rPr>
        <w:t xml:space="preserve">of the estimated dimensionality and true dimensionality </w:t>
      </w:r>
      <w:r w:rsidR="00DC20FE">
        <w:rPr>
          <w:rFonts w:ascii="Arial" w:hAnsi="Arial" w:cs="Arial"/>
          <w:color w:val="000000"/>
          <w:sz w:val="20"/>
          <w:szCs w:val="20"/>
        </w:rPr>
        <w:t>across various simulations with simulated measurement error of (</w:t>
      </w:r>
      <m:oMath>
        <m:sSup>
          <m:sSupPr>
            <m:ctrlPr>
              <w:rPr>
                <w:rFonts w:ascii="Cambria Math" w:hAnsi="Cambria Math" w:cs="Arial"/>
                <w:i/>
                <w:color w:val="000000"/>
                <w:sz w:val="20"/>
                <w:szCs w:val="20"/>
              </w:rPr>
            </m:ctrlPr>
          </m:sSupPr>
          <m:e>
            <m:r>
              <w:rPr>
                <w:rFonts w:ascii="Cambria Math" w:hAnsi="Cambria Math" w:cs="Arial"/>
                <w:color w:val="000000"/>
                <w:sz w:val="20"/>
                <w:szCs w:val="20"/>
              </w:rPr>
              <m:t>σ</m:t>
            </m:r>
          </m:e>
          <m:sup>
            <m:r>
              <w:rPr>
                <w:rFonts w:ascii="Cambria Math" w:hAnsi="Cambria Math" w:cs="Arial"/>
                <w:color w:val="000000"/>
                <w:sz w:val="20"/>
                <w:szCs w:val="20"/>
              </w:rPr>
              <m:t>2</m:t>
            </m:r>
          </m:sup>
        </m:sSup>
        <m:r>
          <w:rPr>
            <w:rFonts w:ascii="Cambria Math" w:hAnsi="Cambria Math" w:cs="Arial"/>
            <w:color w:val="000000"/>
            <w:sz w:val="20"/>
            <w:szCs w:val="20"/>
          </w:rPr>
          <m:t>=0.01)</m:t>
        </m:r>
      </m:oMath>
      <w:r w:rsidR="00DC20FE">
        <w:rPr>
          <w:rFonts w:ascii="Arial" w:hAnsi="Arial" w:cs="Arial"/>
          <w:color w:val="000000"/>
          <w:sz w:val="20"/>
          <w:szCs w:val="20"/>
        </w:rPr>
        <w:t xml:space="preserve">. </w:t>
      </w:r>
      <w:commentRangeStart w:id="8"/>
      <w:r w:rsidR="00DC20FE">
        <w:rPr>
          <w:rFonts w:ascii="Arial" w:hAnsi="Arial" w:cs="Arial"/>
          <w:b/>
          <w:color w:val="000000"/>
          <w:sz w:val="20"/>
          <w:szCs w:val="20"/>
        </w:rPr>
        <w:t xml:space="preserve">C. </w:t>
      </w:r>
      <w:r w:rsidR="00DC20FE">
        <w:rPr>
          <w:rFonts w:ascii="Arial" w:hAnsi="Arial" w:cs="Arial"/>
          <w:color w:val="000000"/>
          <w:sz w:val="20"/>
          <w:szCs w:val="20"/>
        </w:rPr>
        <w:t xml:space="preserve">Visualization </w:t>
      </w:r>
      <w:commentRangeEnd w:id="8"/>
      <w:r w:rsidR="00D03ABE">
        <w:rPr>
          <w:rStyle w:val="CommentReference"/>
        </w:rPr>
        <w:commentReference w:id="8"/>
      </w:r>
      <w:r w:rsidR="00DC20FE">
        <w:rPr>
          <w:rFonts w:ascii="Arial" w:hAnsi="Arial" w:cs="Arial"/>
          <w:color w:val="000000"/>
          <w:sz w:val="20"/>
          <w:szCs w:val="20"/>
        </w:rPr>
        <w:t>of the fit of the model to true underlying simulated data compared to the “true” fitness with measurement error. Shown in red is the fit of the inferred fitness to the simulated data without noise (</w:t>
      </w:r>
      <m:oMath>
        <m:sSup>
          <m:sSupPr>
            <m:ctrlPr>
              <w:rPr>
                <w:rFonts w:ascii="Cambria Math" w:hAnsi="Cambria Math" w:cs="Arial"/>
                <w:i/>
                <w:color w:val="000000"/>
                <w:sz w:val="20"/>
                <w:szCs w:val="20"/>
              </w:rPr>
            </m:ctrlPr>
          </m:sSupPr>
          <m:e>
            <m:r>
              <w:rPr>
                <w:rFonts w:ascii="Cambria Math" w:hAnsi="Cambria Math" w:cs="Arial"/>
                <w:color w:val="000000"/>
                <w:sz w:val="20"/>
                <w:szCs w:val="20"/>
              </w:rPr>
              <m:t>R</m:t>
            </m:r>
          </m:e>
          <m:sup>
            <m:r>
              <w:rPr>
                <w:rFonts w:ascii="Cambria Math" w:hAnsi="Cambria Math" w:cs="Arial"/>
                <w:color w:val="000000"/>
                <w:sz w:val="20"/>
                <w:szCs w:val="20"/>
              </w:rPr>
              <m:t>2</m:t>
            </m:r>
          </m:sup>
        </m:sSup>
        <m:r>
          <w:rPr>
            <w:rFonts w:ascii="Cambria Math" w:hAnsi="Cambria Math" w:cs="Arial"/>
            <w:color w:val="000000"/>
            <w:sz w:val="20"/>
            <w:szCs w:val="20"/>
          </w:rPr>
          <m:t>=0.98</m:t>
        </m:r>
      </m:oMath>
      <w:r w:rsidR="00DC20FE">
        <w:rPr>
          <w:rFonts w:ascii="Arial" w:hAnsi="Arial" w:cs="Arial"/>
          <w:color w:val="000000"/>
          <w:sz w:val="20"/>
          <w:szCs w:val="20"/>
        </w:rPr>
        <w:t>). Shown in blue is the fit of the true measured fitness with error to the simulated data without noise (</w:t>
      </w:r>
      <m:oMath>
        <m:sSup>
          <m:sSupPr>
            <m:ctrlPr>
              <w:rPr>
                <w:rFonts w:ascii="Cambria Math" w:hAnsi="Cambria Math" w:cs="Arial"/>
                <w:i/>
                <w:color w:val="000000"/>
                <w:sz w:val="20"/>
                <w:szCs w:val="20"/>
              </w:rPr>
            </m:ctrlPr>
          </m:sSupPr>
          <m:e>
            <m:r>
              <w:rPr>
                <w:rFonts w:ascii="Cambria Math" w:hAnsi="Cambria Math" w:cs="Arial"/>
                <w:color w:val="000000"/>
                <w:sz w:val="20"/>
                <w:szCs w:val="20"/>
              </w:rPr>
              <m:t>R</m:t>
            </m:r>
          </m:e>
          <m:sup>
            <m:r>
              <w:rPr>
                <w:rFonts w:ascii="Cambria Math" w:hAnsi="Cambria Math" w:cs="Arial"/>
                <w:color w:val="000000"/>
                <w:sz w:val="20"/>
                <w:szCs w:val="20"/>
              </w:rPr>
              <m:t>2</m:t>
            </m:r>
          </m:sup>
        </m:sSup>
        <m:r>
          <w:rPr>
            <w:rFonts w:ascii="Cambria Math" w:hAnsi="Cambria Math" w:cs="Arial"/>
            <w:color w:val="000000"/>
            <w:sz w:val="20"/>
            <w:szCs w:val="20"/>
          </w:rPr>
          <m:t>=0.89</m:t>
        </m:r>
      </m:oMath>
      <w:r w:rsidR="00DC20FE">
        <w:rPr>
          <w:rFonts w:ascii="Arial" w:hAnsi="Arial" w:cs="Arial"/>
          <w:color w:val="000000"/>
          <w:sz w:val="20"/>
          <w:szCs w:val="20"/>
        </w:rPr>
        <w:t>).</w:t>
      </w:r>
    </w:p>
    <w:p w14:paraId="02C89B88" w14:textId="650359FD" w:rsidR="00D03ABE" w:rsidRDefault="00D03ABE"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i/>
          <w:color w:val="000000"/>
          <w:sz w:val="22"/>
          <w:szCs w:val="22"/>
        </w:rPr>
        <w:t>Result 1: In simplest cases, our method works</w:t>
      </w:r>
    </w:p>
    <w:p w14:paraId="4CA037D9" w14:textId="30A5DC8C" w:rsidR="00D03ABE" w:rsidRPr="00D03ABE" w:rsidRDefault="00D03ABE" w:rsidP="008F4A97">
      <w:pPr>
        <w:widowControl w:val="0"/>
        <w:autoSpaceDE w:val="0"/>
        <w:autoSpaceDN w:val="0"/>
        <w:adjustRightInd w:val="0"/>
        <w:spacing w:after="240" w:line="288" w:lineRule="auto"/>
        <w:rPr>
          <w:rFonts w:ascii="Arial" w:hAnsi="Arial" w:cs="Arial"/>
          <w:i/>
          <w:color w:val="000000"/>
          <w:sz w:val="22"/>
          <w:szCs w:val="22"/>
        </w:rPr>
      </w:pPr>
      <w:r w:rsidRPr="00D03ABE">
        <w:rPr>
          <w:rFonts w:ascii="Arial" w:hAnsi="Arial" w:cs="Arial"/>
          <w:i/>
          <w:color w:val="000000"/>
          <w:sz w:val="22"/>
          <w:szCs w:val="22"/>
        </w:rPr>
        <w:t>R1a: we capture the correct number of dimensions</w:t>
      </w:r>
    </w:p>
    <w:p w14:paraId="398B50C1" w14:textId="443F13D5" w:rsidR="00D03ABE" w:rsidRPr="00D03ABE" w:rsidRDefault="00D03ABE" w:rsidP="008F4A97">
      <w:pPr>
        <w:widowControl w:val="0"/>
        <w:autoSpaceDE w:val="0"/>
        <w:autoSpaceDN w:val="0"/>
        <w:adjustRightInd w:val="0"/>
        <w:spacing w:after="240" w:line="288" w:lineRule="auto"/>
        <w:rPr>
          <w:rFonts w:ascii="Arial" w:hAnsi="Arial" w:cs="Arial"/>
          <w:i/>
          <w:color w:val="000000"/>
          <w:sz w:val="22"/>
          <w:szCs w:val="22"/>
        </w:rPr>
      </w:pPr>
      <w:r w:rsidRPr="00D03ABE">
        <w:rPr>
          <w:rFonts w:ascii="Arial" w:hAnsi="Arial" w:cs="Arial"/>
          <w:i/>
          <w:color w:val="000000"/>
          <w:sz w:val="22"/>
          <w:szCs w:val="22"/>
        </w:rPr>
        <w:t>R1b: we capture a reasonable space</w:t>
      </w:r>
    </w:p>
    <w:p w14:paraId="660AB7EE" w14:textId="1A77D3EB" w:rsidR="00D03ABE" w:rsidRPr="00D03ABE" w:rsidRDefault="00D03ABE" w:rsidP="008F4A97">
      <w:pPr>
        <w:widowControl w:val="0"/>
        <w:autoSpaceDE w:val="0"/>
        <w:autoSpaceDN w:val="0"/>
        <w:adjustRightInd w:val="0"/>
        <w:spacing w:after="240" w:line="288" w:lineRule="auto"/>
        <w:rPr>
          <w:rFonts w:ascii="Arial" w:hAnsi="Arial" w:cs="Arial"/>
          <w:i/>
          <w:color w:val="000000"/>
          <w:sz w:val="22"/>
          <w:szCs w:val="22"/>
        </w:rPr>
      </w:pPr>
      <w:r w:rsidRPr="00D03ABE">
        <w:rPr>
          <w:rFonts w:ascii="Arial" w:hAnsi="Arial" w:cs="Arial"/>
          <w:i/>
          <w:color w:val="000000"/>
          <w:sz w:val="22"/>
          <w:szCs w:val="22"/>
        </w:rPr>
        <w:t>R1c: we capture</w:t>
      </w:r>
      <w:r w:rsidR="00AE5D6D">
        <w:rPr>
          <w:rFonts w:ascii="Arial" w:hAnsi="Arial" w:cs="Arial"/>
          <w:i/>
          <w:color w:val="000000"/>
          <w:sz w:val="22"/>
          <w:szCs w:val="22"/>
        </w:rPr>
        <w:t xml:space="preserve"> “</w:t>
      </w:r>
      <w:r w:rsidR="002D14C9">
        <w:rPr>
          <w:rFonts w:ascii="Arial" w:hAnsi="Arial" w:cs="Arial"/>
          <w:i/>
          <w:color w:val="000000"/>
          <w:sz w:val="22"/>
          <w:szCs w:val="22"/>
        </w:rPr>
        <w:t>true”</w:t>
      </w:r>
      <w:r w:rsidRPr="00D03ABE">
        <w:rPr>
          <w:rFonts w:ascii="Arial" w:hAnsi="Arial" w:cs="Arial"/>
          <w:i/>
          <w:color w:val="000000"/>
          <w:sz w:val="22"/>
          <w:szCs w:val="22"/>
        </w:rPr>
        <w:t xml:space="preserve"> fitness better </w:t>
      </w:r>
      <w:r w:rsidR="006F1A0B">
        <w:rPr>
          <w:rFonts w:ascii="Arial" w:hAnsi="Arial" w:cs="Arial"/>
          <w:i/>
          <w:color w:val="000000"/>
          <w:sz w:val="22"/>
          <w:szCs w:val="22"/>
        </w:rPr>
        <w:t>than</w:t>
      </w:r>
      <w:r w:rsidRPr="00D03ABE">
        <w:rPr>
          <w:rFonts w:ascii="Arial" w:hAnsi="Arial" w:cs="Arial"/>
          <w:i/>
          <w:color w:val="000000"/>
          <w:sz w:val="22"/>
          <w:szCs w:val="22"/>
        </w:rPr>
        <w:t xml:space="preserve"> </w:t>
      </w:r>
      <w:r w:rsidR="006F1A0B">
        <w:rPr>
          <w:rFonts w:ascii="Arial" w:hAnsi="Arial" w:cs="Arial"/>
          <w:i/>
          <w:color w:val="000000"/>
          <w:sz w:val="22"/>
          <w:szCs w:val="22"/>
        </w:rPr>
        <w:t>the simulated error</w:t>
      </w:r>
    </w:p>
    <w:p w14:paraId="683BB134" w14:textId="4A55736F" w:rsidR="008F4A97" w:rsidRDefault="008F4A97"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Our computational method accurately estimates the true number of dimensions using this method (Fig 2B), particularly for a low number of dimensions in preliminary simulations. Moreover, it seems like our method, if anything, is prone to overestimating the number of dimensions, indicating that we should be confident that a result is an upper bound on the true underlying dimensionality. </w:t>
      </w:r>
    </w:p>
    <w:p w14:paraId="550A16E5" w14:textId="4AF7CEAC" w:rsidR="008F4A97" w:rsidRDefault="008F4A97"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In addition to our models estimating the true dimensionality of simulated data well, it is also able to accurately estimate the relative fitness of test data (Fig. 2C), fitting the underlying simulated data better than the noisy measurements passed into the model. This means that our cross validation scheme properly accounts for measurement error and finds the true underlying fitness values. </w:t>
      </w:r>
    </w:p>
    <w:p w14:paraId="4B275A46" w14:textId="1767BCC3" w:rsidR="001F70EB" w:rsidRDefault="00D03ABE" w:rsidP="008F4A97">
      <w:pPr>
        <w:widowControl w:val="0"/>
        <w:autoSpaceDE w:val="0"/>
        <w:autoSpaceDN w:val="0"/>
        <w:adjustRightInd w:val="0"/>
        <w:spacing w:after="240" w:line="288" w:lineRule="auto"/>
        <w:rPr>
          <w:rFonts w:ascii="Arial" w:hAnsi="Arial" w:cs="Arial"/>
          <w:i/>
          <w:color w:val="000000"/>
          <w:sz w:val="22"/>
          <w:szCs w:val="22"/>
        </w:rPr>
      </w:pPr>
      <w:r>
        <w:rPr>
          <w:rFonts w:ascii="Arial" w:hAnsi="Arial" w:cs="Arial"/>
          <w:i/>
          <w:color w:val="000000"/>
          <w:sz w:val="22"/>
          <w:szCs w:val="22"/>
        </w:rPr>
        <w:t>Result 2: Sensitivity of our method to isotropy of selection and mutation</w:t>
      </w:r>
    </w:p>
    <w:p w14:paraId="326596E9" w14:textId="4AE28360" w:rsidR="00D61852" w:rsidRPr="00D61852" w:rsidRDefault="00D61852" w:rsidP="00D61852">
      <w:pPr>
        <w:widowControl w:val="0"/>
        <w:autoSpaceDE w:val="0"/>
        <w:autoSpaceDN w:val="0"/>
        <w:adjustRightInd w:val="0"/>
        <w:spacing w:after="240" w:line="288" w:lineRule="auto"/>
        <w:rPr>
          <w:rFonts w:ascii="Arial" w:hAnsi="Arial" w:cs="Arial"/>
          <w:color w:val="000000"/>
          <w:sz w:val="22"/>
          <w:szCs w:val="22"/>
        </w:rPr>
      </w:pPr>
      <w:r w:rsidRPr="00D61852">
        <w:rPr>
          <w:rFonts w:ascii="Arial" w:hAnsi="Arial" w:cs="Arial"/>
          <w:color w:val="000000"/>
          <w:sz w:val="22"/>
          <w:szCs w:val="22"/>
        </w:rPr>
        <w:t>The ability to detect the influence depends on the dispersion of mutants and optima in trait space, precision of measurement, and the combination of the two. If mutants and optima are less dispersed (mutants have simil</w:t>
      </w:r>
      <w:r>
        <w:rPr>
          <w:rFonts w:ascii="Arial" w:hAnsi="Arial" w:cs="Arial"/>
          <w:color w:val="000000"/>
          <w:sz w:val="22"/>
          <w:szCs w:val="22"/>
        </w:rPr>
        <w:t>ar phenotypes and conditions</w:t>
      </w:r>
      <w:r w:rsidRPr="00D61852">
        <w:rPr>
          <w:rFonts w:ascii="Arial" w:hAnsi="Arial" w:cs="Arial"/>
          <w:color w:val="000000"/>
          <w:sz w:val="22"/>
          <w:szCs w:val="22"/>
        </w:rPr>
        <w:t xml:space="preserve"> have subtle differences), then more precise measurements are needed (and vice versa). Because our model assumes that each trait contributes equally to fitness, traits that have lower contribution (in un-rescaled space) will al</w:t>
      </w:r>
      <w:r>
        <w:rPr>
          <w:rFonts w:ascii="Arial" w:hAnsi="Arial" w:cs="Arial"/>
          <w:color w:val="000000"/>
          <w:sz w:val="22"/>
          <w:szCs w:val="22"/>
        </w:rPr>
        <w:t xml:space="preserve">so have the effect of lowering the dispersion of mutants in the dimension corresponding with that trait. </w:t>
      </w:r>
    </w:p>
    <w:p w14:paraId="41774390" w14:textId="42612A70" w:rsidR="00D03ABE" w:rsidRPr="00D03ABE" w:rsidRDefault="00D61852" w:rsidP="008F4A97">
      <w:pPr>
        <w:widowControl w:val="0"/>
        <w:autoSpaceDE w:val="0"/>
        <w:autoSpaceDN w:val="0"/>
        <w:adjustRightInd w:val="0"/>
        <w:spacing w:after="240" w:line="288" w:lineRule="auto"/>
        <w:rPr>
          <w:rFonts w:ascii="Arial" w:hAnsi="Arial" w:cs="Arial"/>
          <w:i/>
          <w:color w:val="000000"/>
          <w:sz w:val="22"/>
          <w:szCs w:val="22"/>
        </w:rPr>
      </w:pPr>
      <w:r>
        <w:rPr>
          <w:rFonts w:ascii="Arial" w:hAnsi="Arial" w:cs="Arial"/>
          <w:i/>
          <w:color w:val="000000"/>
          <w:sz w:val="22"/>
          <w:szCs w:val="22"/>
        </w:rPr>
        <w:t xml:space="preserve"> </w:t>
      </w:r>
      <w:r w:rsidR="006F1A0B">
        <w:rPr>
          <w:rFonts w:ascii="Arial" w:hAnsi="Arial" w:cs="Arial"/>
          <w:i/>
          <w:color w:val="000000"/>
          <w:sz w:val="22"/>
          <w:szCs w:val="22"/>
        </w:rPr>
        <w:t xml:space="preserve">[TBD] but 2a could be selection and 2b could be mutation. Maybe show some figure to explain rescaling in terms of fitness. Probably include something </w:t>
      </w:r>
      <w:r w:rsidR="007A5EDE">
        <w:rPr>
          <w:rFonts w:ascii="Arial" w:hAnsi="Arial" w:cs="Arial"/>
          <w:i/>
          <w:color w:val="000000"/>
          <w:sz w:val="22"/>
          <w:szCs w:val="22"/>
        </w:rPr>
        <w:t>about measurement error in here (and how measurement error x anisotropy effect sensitivity)</w:t>
      </w:r>
    </w:p>
    <w:p w14:paraId="35F90A6B" w14:textId="4EB12448" w:rsidR="001F70EB" w:rsidRDefault="006F1A0B" w:rsidP="008F4A97">
      <w:pPr>
        <w:widowControl w:val="0"/>
        <w:autoSpaceDE w:val="0"/>
        <w:autoSpaceDN w:val="0"/>
        <w:adjustRightInd w:val="0"/>
        <w:spacing w:after="240" w:line="288" w:lineRule="auto"/>
        <w:rPr>
          <w:rFonts w:ascii="Arial" w:hAnsi="Arial" w:cs="Arial"/>
          <w:i/>
          <w:color w:val="000000"/>
          <w:sz w:val="22"/>
          <w:szCs w:val="22"/>
        </w:rPr>
      </w:pPr>
      <w:r>
        <w:rPr>
          <w:rFonts w:ascii="Arial" w:hAnsi="Arial" w:cs="Arial"/>
          <w:i/>
          <w:color w:val="000000"/>
          <w:sz w:val="22"/>
          <w:szCs w:val="22"/>
        </w:rPr>
        <w:t xml:space="preserve">Result 3: </w:t>
      </w:r>
      <w:r w:rsidR="001F70EB">
        <w:rPr>
          <w:rFonts w:ascii="Arial" w:hAnsi="Arial" w:cs="Arial"/>
          <w:i/>
          <w:color w:val="000000"/>
          <w:sz w:val="22"/>
          <w:szCs w:val="22"/>
        </w:rPr>
        <w:t>Identification of classes of mutations with outlier behavior</w:t>
      </w:r>
    </w:p>
    <w:p w14:paraId="78C94C9E" w14:textId="0D1D0F6D" w:rsidR="00746BDE" w:rsidRPr="00746BDE" w:rsidRDefault="00746BDE"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Our method for inferring the space inherently relies on how the collection of mutants behave over a collection of conditions. How well can we detect the behavior of particular mutants and conditions? That is, is our method only good for inferring the commonalities but not particular behavior, and if so, how can we know that (and which) particular behaviors are not picked up?</w:t>
      </w:r>
    </w:p>
    <w:p w14:paraId="244D9D0F" w14:textId="508EFDDF" w:rsidR="003136F5" w:rsidRPr="003136F5" w:rsidRDefault="006F1A0B" w:rsidP="008F4A97">
      <w:pPr>
        <w:widowControl w:val="0"/>
        <w:autoSpaceDE w:val="0"/>
        <w:autoSpaceDN w:val="0"/>
        <w:adjustRightInd w:val="0"/>
        <w:spacing w:after="240" w:line="288" w:lineRule="auto"/>
        <w:rPr>
          <w:rFonts w:ascii="Arial" w:hAnsi="Arial" w:cs="Arial"/>
          <w:i/>
          <w:color w:val="000000"/>
          <w:sz w:val="22"/>
          <w:szCs w:val="22"/>
        </w:rPr>
      </w:pPr>
      <w:commentRangeStart w:id="9"/>
      <w:r>
        <w:rPr>
          <w:rFonts w:ascii="Arial" w:hAnsi="Arial" w:cs="Arial"/>
          <w:i/>
          <w:color w:val="000000"/>
          <w:sz w:val="22"/>
          <w:szCs w:val="22"/>
        </w:rPr>
        <w:t xml:space="preserve">Result 4: </w:t>
      </w:r>
      <w:r w:rsidR="00C416F9">
        <w:rPr>
          <w:rFonts w:ascii="Arial" w:hAnsi="Arial" w:cs="Arial"/>
          <w:i/>
          <w:color w:val="000000"/>
          <w:sz w:val="22"/>
          <w:szCs w:val="22"/>
        </w:rPr>
        <w:t xml:space="preserve">Application to </w:t>
      </w:r>
      <w:proofErr w:type="spellStart"/>
      <w:r w:rsidR="00C416F9">
        <w:rPr>
          <w:rFonts w:ascii="Arial" w:hAnsi="Arial" w:cs="Arial"/>
          <w:i/>
          <w:color w:val="000000"/>
          <w:sz w:val="22"/>
          <w:szCs w:val="22"/>
        </w:rPr>
        <w:t>Hillenmeyer</w:t>
      </w:r>
      <w:proofErr w:type="spellEnd"/>
      <w:r w:rsidR="00C416F9">
        <w:rPr>
          <w:rFonts w:ascii="Arial" w:hAnsi="Arial" w:cs="Arial"/>
          <w:i/>
          <w:color w:val="000000"/>
          <w:sz w:val="22"/>
          <w:szCs w:val="22"/>
        </w:rPr>
        <w:t xml:space="preserve"> data?</w:t>
      </w:r>
      <w:commentRangeEnd w:id="9"/>
      <w:r w:rsidR="00512255">
        <w:rPr>
          <w:rStyle w:val="CommentReference"/>
        </w:rPr>
        <w:commentReference w:id="9"/>
      </w:r>
    </w:p>
    <w:p w14:paraId="0A567E90" w14:textId="77777777" w:rsidR="004B0CE4" w:rsidRDefault="008F4A97" w:rsidP="004B0CE4">
      <w:pPr>
        <w:widowControl w:val="0"/>
        <w:autoSpaceDE w:val="0"/>
        <w:autoSpaceDN w:val="0"/>
        <w:adjustRightInd w:val="0"/>
        <w:ind w:left="480" w:hanging="480"/>
        <w:rPr>
          <w:rFonts w:ascii="Arial" w:hAnsi="Arial" w:cs="Arial"/>
          <w:b/>
          <w:bCs/>
          <w:color w:val="000000"/>
          <w:sz w:val="22"/>
          <w:szCs w:val="22"/>
        </w:rPr>
      </w:pPr>
      <w:r>
        <w:rPr>
          <w:rFonts w:ascii="Arial" w:hAnsi="Arial" w:cs="Arial"/>
          <w:b/>
          <w:bCs/>
          <w:color w:val="000000"/>
          <w:sz w:val="22"/>
          <w:szCs w:val="22"/>
        </w:rPr>
        <w:t>Discussion</w:t>
      </w:r>
    </w:p>
    <w:p w14:paraId="28030E22" w14:textId="77777777" w:rsidR="001F70EB" w:rsidRDefault="001F70EB" w:rsidP="004B0CE4">
      <w:pPr>
        <w:widowControl w:val="0"/>
        <w:autoSpaceDE w:val="0"/>
        <w:autoSpaceDN w:val="0"/>
        <w:adjustRightInd w:val="0"/>
        <w:ind w:left="480" w:hanging="480"/>
        <w:rPr>
          <w:rFonts w:ascii="Arial" w:hAnsi="Arial" w:cs="Arial"/>
          <w:b/>
          <w:bCs/>
          <w:color w:val="000000"/>
          <w:sz w:val="22"/>
          <w:szCs w:val="22"/>
        </w:rPr>
      </w:pPr>
    </w:p>
    <w:p w14:paraId="28416E5C" w14:textId="77777777" w:rsidR="00966099" w:rsidRDefault="00966099" w:rsidP="004B0CE4">
      <w:pPr>
        <w:widowControl w:val="0"/>
        <w:autoSpaceDE w:val="0"/>
        <w:autoSpaceDN w:val="0"/>
        <w:adjustRightInd w:val="0"/>
        <w:ind w:left="480" w:hanging="480"/>
        <w:rPr>
          <w:rFonts w:ascii="Arial" w:hAnsi="Arial" w:cs="Arial"/>
          <w:b/>
          <w:bCs/>
          <w:color w:val="000000"/>
          <w:sz w:val="22"/>
          <w:szCs w:val="22"/>
        </w:rPr>
      </w:pPr>
    </w:p>
    <w:p w14:paraId="71339549" w14:textId="77777777" w:rsidR="00966099" w:rsidRDefault="00966099" w:rsidP="004B0CE4">
      <w:pPr>
        <w:widowControl w:val="0"/>
        <w:autoSpaceDE w:val="0"/>
        <w:autoSpaceDN w:val="0"/>
        <w:adjustRightInd w:val="0"/>
        <w:ind w:left="480" w:hanging="480"/>
        <w:rPr>
          <w:rFonts w:ascii="Arial" w:hAnsi="Arial" w:cs="Arial"/>
          <w:b/>
          <w:bCs/>
          <w:color w:val="000000"/>
          <w:sz w:val="22"/>
          <w:szCs w:val="22"/>
        </w:rPr>
      </w:pPr>
    </w:p>
    <w:p w14:paraId="1841E3EE" w14:textId="32D1D011" w:rsidR="001F70EB" w:rsidRDefault="001F70EB" w:rsidP="004B0CE4">
      <w:pPr>
        <w:widowControl w:val="0"/>
        <w:autoSpaceDE w:val="0"/>
        <w:autoSpaceDN w:val="0"/>
        <w:adjustRightInd w:val="0"/>
        <w:ind w:left="480" w:hanging="480"/>
        <w:rPr>
          <w:rFonts w:ascii="Arial" w:hAnsi="Arial" w:cs="Arial"/>
          <w:b/>
          <w:bCs/>
          <w:color w:val="000000"/>
          <w:sz w:val="22"/>
          <w:szCs w:val="22"/>
        </w:rPr>
      </w:pPr>
      <w:r>
        <w:rPr>
          <w:rFonts w:ascii="Arial" w:hAnsi="Arial" w:cs="Arial"/>
          <w:b/>
          <w:bCs/>
          <w:color w:val="000000"/>
          <w:sz w:val="22"/>
          <w:szCs w:val="22"/>
        </w:rPr>
        <w:t>References</w:t>
      </w:r>
    </w:p>
    <w:p w14:paraId="6D18B87F" w14:textId="6121DD05" w:rsidR="00E111CB" w:rsidRPr="00E111CB" w:rsidRDefault="004B0CE4" w:rsidP="00E111CB">
      <w:pPr>
        <w:widowControl w:val="0"/>
        <w:autoSpaceDE w:val="0"/>
        <w:autoSpaceDN w:val="0"/>
        <w:adjustRightInd w:val="0"/>
        <w:ind w:left="480" w:hanging="480"/>
        <w:rPr>
          <w:rFonts w:ascii="Arial" w:eastAsia="Times New Roman" w:hAnsi="Arial" w:cs="Arial"/>
          <w:noProof/>
          <w:sz w:val="22"/>
        </w:rPr>
      </w:pPr>
      <w:r>
        <w:rPr>
          <w:rFonts w:ascii="Arial" w:hAnsi="Arial" w:cs="Arial"/>
          <w:b/>
          <w:bCs/>
          <w:color w:val="000000"/>
          <w:sz w:val="22"/>
          <w:szCs w:val="22"/>
        </w:rPr>
        <w:fldChar w:fldCharType="begin" w:fldLock="1"/>
      </w:r>
      <w:r>
        <w:rPr>
          <w:rFonts w:ascii="Arial" w:hAnsi="Arial" w:cs="Arial"/>
          <w:b/>
          <w:bCs/>
          <w:color w:val="000000"/>
          <w:sz w:val="22"/>
          <w:szCs w:val="22"/>
        </w:rPr>
        <w:instrText xml:space="preserve">ADDIN Mendeley Bibliography CSL_BIBLIOGRAPHY </w:instrText>
      </w:r>
      <w:r>
        <w:rPr>
          <w:rFonts w:ascii="Arial" w:hAnsi="Arial" w:cs="Arial"/>
          <w:b/>
          <w:bCs/>
          <w:color w:val="000000"/>
          <w:sz w:val="22"/>
          <w:szCs w:val="22"/>
        </w:rPr>
        <w:fldChar w:fldCharType="separate"/>
      </w:r>
      <w:r w:rsidR="00E111CB" w:rsidRPr="00E111CB">
        <w:rPr>
          <w:rFonts w:ascii="Arial" w:eastAsia="Times New Roman" w:hAnsi="Arial" w:cs="Arial"/>
          <w:noProof/>
          <w:sz w:val="22"/>
        </w:rPr>
        <w:t xml:space="preserve">Bataillon, T. &amp; Bailey, S.F., 2014. Effects of new mutations on fitness: Insights from models and data. </w:t>
      </w:r>
      <w:r w:rsidR="00E111CB" w:rsidRPr="00E111CB">
        <w:rPr>
          <w:rFonts w:ascii="Arial" w:eastAsia="Times New Roman" w:hAnsi="Arial" w:cs="Arial"/>
          <w:i/>
          <w:iCs/>
          <w:noProof/>
          <w:sz w:val="22"/>
        </w:rPr>
        <w:t>Annals of the New York Academy of Sciences</w:t>
      </w:r>
      <w:r w:rsidR="00E111CB" w:rsidRPr="00E111CB">
        <w:rPr>
          <w:rFonts w:ascii="Arial" w:eastAsia="Times New Roman" w:hAnsi="Arial" w:cs="Arial"/>
          <w:noProof/>
          <w:sz w:val="22"/>
        </w:rPr>
        <w:t>, 1320(1), pp.76–92.</w:t>
      </w:r>
    </w:p>
    <w:p w14:paraId="686ADEEA" w14:textId="77777777" w:rsidR="00E111CB" w:rsidRPr="00E111CB" w:rsidRDefault="00E111CB" w:rsidP="00E111CB">
      <w:pPr>
        <w:widowControl w:val="0"/>
        <w:autoSpaceDE w:val="0"/>
        <w:autoSpaceDN w:val="0"/>
        <w:adjustRightInd w:val="0"/>
        <w:ind w:left="480" w:hanging="480"/>
        <w:rPr>
          <w:rFonts w:ascii="Arial" w:eastAsia="Times New Roman" w:hAnsi="Arial" w:cs="Arial"/>
          <w:noProof/>
          <w:sz w:val="22"/>
        </w:rPr>
      </w:pPr>
      <w:r w:rsidRPr="00E111CB">
        <w:rPr>
          <w:rFonts w:ascii="Arial" w:eastAsia="Times New Roman" w:hAnsi="Arial" w:cs="Arial"/>
          <w:noProof/>
          <w:sz w:val="22"/>
        </w:rPr>
        <w:t xml:space="preserve">Blanquart, F. &amp; Bataillon, T., 2016. Epistasis and the structure of fitness landscapes: Are experimental fitness landscapes compatible with fisher’s geometric model? </w:t>
      </w:r>
      <w:r w:rsidRPr="00E111CB">
        <w:rPr>
          <w:rFonts w:ascii="Arial" w:eastAsia="Times New Roman" w:hAnsi="Arial" w:cs="Arial"/>
          <w:i/>
          <w:iCs/>
          <w:noProof/>
          <w:sz w:val="22"/>
        </w:rPr>
        <w:t>Genetics</w:t>
      </w:r>
      <w:r w:rsidRPr="00E111CB">
        <w:rPr>
          <w:rFonts w:ascii="Arial" w:eastAsia="Times New Roman" w:hAnsi="Arial" w:cs="Arial"/>
          <w:noProof/>
          <w:sz w:val="22"/>
        </w:rPr>
        <w:t>, 203(2), pp.847–862.</w:t>
      </w:r>
    </w:p>
    <w:p w14:paraId="66F69DBC" w14:textId="77777777" w:rsidR="00E111CB" w:rsidRPr="00E111CB" w:rsidRDefault="00E111CB" w:rsidP="00E111CB">
      <w:pPr>
        <w:widowControl w:val="0"/>
        <w:autoSpaceDE w:val="0"/>
        <w:autoSpaceDN w:val="0"/>
        <w:adjustRightInd w:val="0"/>
        <w:ind w:left="480" w:hanging="480"/>
        <w:rPr>
          <w:rFonts w:ascii="Arial" w:eastAsia="Times New Roman" w:hAnsi="Arial" w:cs="Arial"/>
          <w:noProof/>
          <w:sz w:val="22"/>
        </w:rPr>
      </w:pPr>
      <w:r w:rsidRPr="00E111CB">
        <w:rPr>
          <w:rFonts w:ascii="Arial" w:eastAsia="Times New Roman" w:hAnsi="Arial" w:cs="Arial"/>
          <w:noProof/>
          <w:sz w:val="22"/>
        </w:rPr>
        <w:t xml:space="preserve">Boyle, E.A., Li, Y.I. &amp; Pritchard, J.K., 2017. Leading Edge Perspective An Expanded View of Complex Traits: From Polygenic to Omnigenic. </w:t>
      </w:r>
      <w:r w:rsidRPr="00E111CB">
        <w:rPr>
          <w:rFonts w:ascii="Arial" w:eastAsia="Times New Roman" w:hAnsi="Arial" w:cs="Arial"/>
          <w:i/>
          <w:iCs/>
          <w:noProof/>
          <w:sz w:val="22"/>
        </w:rPr>
        <w:t>Cell</w:t>
      </w:r>
      <w:r w:rsidRPr="00E111CB">
        <w:rPr>
          <w:rFonts w:ascii="Arial" w:eastAsia="Times New Roman" w:hAnsi="Arial" w:cs="Arial"/>
          <w:noProof/>
          <w:sz w:val="22"/>
        </w:rPr>
        <w:t>, 169(7), pp.1177–1186. Available at: http://dx.doi.org/10.1016/j.cell.2017.05.038.</w:t>
      </w:r>
    </w:p>
    <w:p w14:paraId="1E0E1043" w14:textId="77777777" w:rsidR="00E111CB" w:rsidRPr="00E111CB" w:rsidRDefault="00E111CB" w:rsidP="00E111CB">
      <w:pPr>
        <w:widowControl w:val="0"/>
        <w:autoSpaceDE w:val="0"/>
        <w:autoSpaceDN w:val="0"/>
        <w:adjustRightInd w:val="0"/>
        <w:ind w:left="480" w:hanging="480"/>
        <w:rPr>
          <w:rFonts w:ascii="Arial" w:eastAsia="Times New Roman" w:hAnsi="Arial" w:cs="Arial"/>
          <w:noProof/>
          <w:sz w:val="22"/>
        </w:rPr>
      </w:pPr>
      <w:r w:rsidRPr="00E111CB">
        <w:rPr>
          <w:rFonts w:ascii="Arial" w:eastAsia="Times New Roman" w:hAnsi="Arial" w:cs="Arial"/>
          <w:noProof/>
          <w:sz w:val="22"/>
        </w:rPr>
        <w:t xml:space="preserve">Chou, H.-H. et al., 2011. Diminishing Returns Epistasis Among Beneficial Mutations Decelerates Adaptation. </w:t>
      </w:r>
      <w:r w:rsidRPr="00E111CB">
        <w:rPr>
          <w:rFonts w:ascii="Arial" w:eastAsia="Times New Roman" w:hAnsi="Arial" w:cs="Arial"/>
          <w:i/>
          <w:iCs/>
          <w:noProof/>
          <w:sz w:val="22"/>
        </w:rPr>
        <w:t>Science</w:t>
      </w:r>
      <w:r w:rsidRPr="00E111CB">
        <w:rPr>
          <w:rFonts w:ascii="Arial" w:eastAsia="Times New Roman" w:hAnsi="Arial" w:cs="Arial"/>
          <w:noProof/>
          <w:sz w:val="22"/>
        </w:rPr>
        <w:t>, 332(6034), pp.1190–1192. Available at: http://www.ncbi.nlm.nih.gov/pubmed/21636771%0Ahttp://www.pubmedcentral.nih.gov/articlerender.fcgi?artid=PMC3244271%0Ahttp://www.sciencemag.org/cgi/doi/10.1126/science.1203799.</w:t>
      </w:r>
    </w:p>
    <w:p w14:paraId="1C92A173" w14:textId="77777777" w:rsidR="00E111CB" w:rsidRPr="00E111CB" w:rsidRDefault="00E111CB" w:rsidP="00E111CB">
      <w:pPr>
        <w:widowControl w:val="0"/>
        <w:autoSpaceDE w:val="0"/>
        <w:autoSpaceDN w:val="0"/>
        <w:adjustRightInd w:val="0"/>
        <w:ind w:left="480" w:hanging="480"/>
        <w:rPr>
          <w:rFonts w:ascii="Arial" w:eastAsia="Times New Roman" w:hAnsi="Arial" w:cs="Arial"/>
          <w:noProof/>
          <w:sz w:val="22"/>
        </w:rPr>
      </w:pPr>
      <w:r w:rsidRPr="00E111CB">
        <w:rPr>
          <w:rFonts w:ascii="Arial" w:eastAsia="Times New Roman" w:hAnsi="Arial" w:cs="Arial"/>
          <w:noProof/>
          <w:sz w:val="22"/>
        </w:rPr>
        <w:t xml:space="preserve">Colosimo, P.F. et al., 2005. Widespread Parallel Evolution in. </w:t>
      </w:r>
      <w:r w:rsidRPr="00E111CB">
        <w:rPr>
          <w:rFonts w:ascii="Arial" w:eastAsia="Times New Roman" w:hAnsi="Arial" w:cs="Arial"/>
          <w:i/>
          <w:iCs/>
          <w:noProof/>
          <w:sz w:val="22"/>
        </w:rPr>
        <w:t>Science</w:t>
      </w:r>
      <w:r w:rsidRPr="00E111CB">
        <w:rPr>
          <w:rFonts w:ascii="Arial" w:eastAsia="Times New Roman" w:hAnsi="Arial" w:cs="Arial"/>
          <w:noProof/>
          <w:sz w:val="22"/>
        </w:rPr>
        <w:t>, 307(March), pp.1928–1933.</w:t>
      </w:r>
    </w:p>
    <w:p w14:paraId="40487AB7" w14:textId="77777777" w:rsidR="00E111CB" w:rsidRPr="00E111CB" w:rsidRDefault="00E111CB" w:rsidP="00E111CB">
      <w:pPr>
        <w:widowControl w:val="0"/>
        <w:autoSpaceDE w:val="0"/>
        <w:autoSpaceDN w:val="0"/>
        <w:adjustRightInd w:val="0"/>
        <w:ind w:left="480" w:hanging="480"/>
        <w:rPr>
          <w:rFonts w:ascii="Arial" w:eastAsia="Times New Roman" w:hAnsi="Arial" w:cs="Arial"/>
          <w:noProof/>
          <w:sz w:val="22"/>
        </w:rPr>
      </w:pPr>
      <w:r w:rsidRPr="00E111CB">
        <w:rPr>
          <w:rFonts w:ascii="Arial" w:eastAsia="Times New Roman" w:hAnsi="Arial" w:cs="Arial"/>
          <w:noProof/>
          <w:sz w:val="22"/>
        </w:rPr>
        <w:t xml:space="preserve">Fisher, R.A., 1930. </w:t>
      </w:r>
      <w:r w:rsidRPr="00E111CB">
        <w:rPr>
          <w:rFonts w:ascii="Arial" w:eastAsia="Times New Roman" w:hAnsi="Arial" w:cs="Arial"/>
          <w:i/>
          <w:iCs/>
          <w:noProof/>
          <w:sz w:val="22"/>
        </w:rPr>
        <w:t>The Genetical Theory of Natural Selection</w:t>
      </w:r>
      <w:r w:rsidRPr="00E111CB">
        <w:rPr>
          <w:rFonts w:ascii="Arial" w:eastAsia="Times New Roman" w:hAnsi="Arial" w:cs="Arial"/>
          <w:noProof/>
          <w:sz w:val="22"/>
        </w:rPr>
        <w:t>, Oxford: Oxford University Press.</w:t>
      </w:r>
    </w:p>
    <w:p w14:paraId="37989253" w14:textId="77777777" w:rsidR="00E111CB" w:rsidRPr="00E111CB" w:rsidRDefault="00E111CB" w:rsidP="00E111CB">
      <w:pPr>
        <w:widowControl w:val="0"/>
        <w:autoSpaceDE w:val="0"/>
        <w:autoSpaceDN w:val="0"/>
        <w:adjustRightInd w:val="0"/>
        <w:ind w:left="480" w:hanging="480"/>
        <w:rPr>
          <w:rFonts w:ascii="Arial" w:eastAsia="Times New Roman" w:hAnsi="Arial" w:cs="Arial"/>
          <w:noProof/>
          <w:sz w:val="22"/>
        </w:rPr>
      </w:pPr>
      <w:r w:rsidRPr="00E111CB">
        <w:rPr>
          <w:rFonts w:ascii="Arial" w:eastAsia="Times New Roman" w:hAnsi="Arial" w:cs="Arial"/>
          <w:noProof/>
          <w:sz w:val="22"/>
        </w:rPr>
        <w:t xml:space="preserve">Hoekstra, H.E. et al., 2006. A Single Amino Acid Mutation Contribues to Adaptive Beach Mouse Color Pattern. </w:t>
      </w:r>
      <w:r w:rsidRPr="00E111CB">
        <w:rPr>
          <w:rFonts w:ascii="Arial" w:eastAsia="Times New Roman" w:hAnsi="Arial" w:cs="Arial"/>
          <w:i/>
          <w:iCs/>
          <w:noProof/>
          <w:sz w:val="22"/>
        </w:rPr>
        <w:t>Science</w:t>
      </w:r>
      <w:r w:rsidRPr="00E111CB">
        <w:rPr>
          <w:rFonts w:ascii="Arial" w:eastAsia="Times New Roman" w:hAnsi="Arial" w:cs="Arial"/>
          <w:noProof/>
          <w:sz w:val="22"/>
        </w:rPr>
        <w:t>, 313(July), pp.101–104. Available at: http://www.ncbi.nlm.nih.gov/pubmed/16825572.</w:t>
      </w:r>
    </w:p>
    <w:p w14:paraId="73325DCE" w14:textId="77777777" w:rsidR="00E111CB" w:rsidRPr="00E111CB" w:rsidRDefault="00E111CB" w:rsidP="00E111CB">
      <w:pPr>
        <w:widowControl w:val="0"/>
        <w:autoSpaceDE w:val="0"/>
        <w:autoSpaceDN w:val="0"/>
        <w:adjustRightInd w:val="0"/>
        <w:ind w:left="480" w:hanging="480"/>
        <w:rPr>
          <w:rFonts w:ascii="Arial" w:eastAsia="Times New Roman" w:hAnsi="Arial" w:cs="Arial"/>
          <w:noProof/>
          <w:sz w:val="22"/>
        </w:rPr>
      </w:pPr>
      <w:r w:rsidRPr="00E111CB">
        <w:rPr>
          <w:rFonts w:ascii="Arial" w:eastAsia="Times New Roman" w:hAnsi="Arial" w:cs="Arial"/>
          <w:noProof/>
          <w:sz w:val="22"/>
        </w:rPr>
        <w:t xml:space="preserve">Levy, S.F. et al., 2015. Quantitative evolutionary dynamics using high-resolution lineage tracking. </w:t>
      </w:r>
      <w:r w:rsidRPr="00E111CB">
        <w:rPr>
          <w:rFonts w:ascii="Arial" w:eastAsia="Times New Roman" w:hAnsi="Arial" w:cs="Arial"/>
          <w:i/>
          <w:iCs/>
          <w:noProof/>
          <w:sz w:val="22"/>
        </w:rPr>
        <w:t>Nature</w:t>
      </w:r>
      <w:r w:rsidRPr="00E111CB">
        <w:rPr>
          <w:rFonts w:ascii="Arial" w:eastAsia="Times New Roman" w:hAnsi="Arial" w:cs="Arial"/>
          <w:noProof/>
          <w:sz w:val="22"/>
        </w:rPr>
        <w:t>, advance on, pp.1–78. Available at: http://dx.doi.org/10.1038/nature14279.</w:t>
      </w:r>
    </w:p>
    <w:p w14:paraId="6E459800" w14:textId="77777777" w:rsidR="00E111CB" w:rsidRPr="00E111CB" w:rsidRDefault="00E111CB" w:rsidP="00E111CB">
      <w:pPr>
        <w:widowControl w:val="0"/>
        <w:autoSpaceDE w:val="0"/>
        <w:autoSpaceDN w:val="0"/>
        <w:adjustRightInd w:val="0"/>
        <w:ind w:left="480" w:hanging="480"/>
        <w:rPr>
          <w:rFonts w:ascii="Arial" w:eastAsia="Times New Roman" w:hAnsi="Arial" w:cs="Arial"/>
          <w:noProof/>
          <w:sz w:val="22"/>
        </w:rPr>
      </w:pPr>
      <w:r w:rsidRPr="00E111CB">
        <w:rPr>
          <w:rFonts w:ascii="Arial" w:eastAsia="Times New Roman" w:hAnsi="Arial" w:cs="Arial"/>
          <w:noProof/>
          <w:sz w:val="22"/>
        </w:rPr>
        <w:t xml:space="preserve">Li, Y. et al., 2018. Hidden Complexity of Yeast Adaptation under Simple Evolutionary Conditions. </w:t>
      </w:r>
      <w:r w:rsidRPr="00E111CB">
        <w:rPr>
          <w:rFonts w:ascii="Arial" w:eastAsia="Times New Roman" w:hAnsi="Arial" w:cs="Arial"/>
          <w:i/>
          <w:iCs/>
          <w:noProof/>
          <w:sz w:val="22"/>
        </w:rPr>
        <w:t>Current Biology</w:t>
      </w:r>
      <w:r w:rsidRPr="00E111CB">
        <w:rPr>
          <w:rFonts w:ascii="Arial" w:eastAsia="Times New Roman" w:hAnsi="Arial" w:cs="Arial"/>
          <w:noProof/>
          <w:sz w:val="22"/>
        </w:rPr>
        <w:t>, 28(4), p.515–525.e6. Available at: https://doi.org/10.1016/j.cub.2018.01.009.</w:t>
      </w:r>
    </w:p>
    <w:p w14:paraId="7EE5350D" w14:textId="77777777" w:rsidR="00E111CB" w:rsidRPr="00E111CB" w:rsidRDefault="00E111CB" w:rsidP="00E111CB">
      <w:pPr>
        <w:widowControl w:val="0"/>
        <w:autoSpaceDE w:val="0"/>
        <w:autoSpaceDN w:val="0"/>
        <w:adjustRightInd w:val="0"/>
        <w:ind w:left="480" w:hanging="480"/>
        <w:rPr>
          <w:rFonts w:ascii="Arial" w:eastAsia="Times New Roman" w:hAnsi="Arial" w:cs="Arial"/>
          <w:noProof/>
          <w:sz w:val="22"/>
        </w:rPr>
      </w:pPr>
      <w:r w:rsidRPr="00E111CB">
        <w:rPr>
          <w:rFonts w:ascii="Arial" w:eastAsia="Times New Roman" w:hAnsi="Arial" w:cs="Arial"/>
          <w:noProof/>
          <w:sz w:val="22"/>
        </w:rPr>
        <w:t xml:space="preserve">Lourenço, J.M., Galtier, N. &amp; Glémin, S., 2011. Complexity, Pleiotropy, and the Fitness Effect of Mutations. </w:t>
      </w:r>
      <w:r w:rsidRPr="00E111CB">
        <w:rPr>
          <w:rFonts w:ascii="Arial" w:eastAsia="Times New Roman" w:hAnsi="Arial" w:cs="Arial"/>
          <w:i/>
          <w:iCs/>
          <w:noProof/>
          <w:sz w:val="22"/>
        </w:rPr>
        <w:t>Evolution</w:t>
      </w:r>
      <w:r w:rsidRPr="00E111CB">
        <w:rPr>
          <w:rFonts w:ascii="Arial" w:eastAsia="Times New Roman" w:hAnsi="Arial" w:cs="Arial"/>
          <w:noProof/>
          <w:sz w:val="22"/>
        </w:rPr>
        <w:t>, 65(6), pp.1559–1571.</w:t>
      </w:r>
    </w:p>
    <w:p w14:paraId="3A313A12" w14:textId="77777777" w:rsidR="00E111CB" w:rsidRPr="00E111CB" w:rsidRDefault="00E111CB" w:rsidP="00E111CB">
      <w:pPr>
        <w:widowControl w:val="0"/>
        <w:autoSpaceDE w:val="0"/>
        <w:autoSpaceDN w:val="0"/>
        <w:adjustRightInd w:val="0"/>
        <w:ind w:left="480" w:hanging="480"/>
        <w:rPr>
          <w:rFonts w:ascii="Arial" w:eastAsia="Times New Roman" w:hAnsi="Arial" w:cs="Arial"/>
          <w:noProof/>
          <w:sz w:val="22"/>
        </w:rPr>
      </w:pPr>
      <w:r w:rsidRPr="00E111CB">
        <w:rPr>
          <w:rFonts w:ascii="Arial" w:eastAsia="Times New Roman" w:hAnsi="Arial" w:cs="Arial"/>
          <w:noProof/>
          <w:sz w:val="22"/>
        </w:rPr>
        <w:t xml:space="preserve">Martin, G. &amp; Lenormand, T., 2006. A general multivariate extension of Fisher’s geometrical model and the distribution of mutation fitness effects across species. </w:t>
      </w:r>
      <w:r w:rsidRPr="00E111CB">
        <w:rPr>
          <w:rFonts w:ascii="Arial" w:eastAsia="Times New Roman" w:hAnsi="Arial" w:cs="Arial"/>
          <w:i/>
          <w:iCs/>
          <w:noProof/>
          <w:sz w:val="22"/>
        </w:rPr>
        <w:t>Evolution; international journal of organic evolution</w:t>
      </w:r>
      <w:r w:rsidRPr="00E111CB">
        <w:rPr>
          <w:rFonts w:ascii="Arial" w:eastAsia="Times New Roman" w:hAnsi="Arial" w:cs="Arial"/>
          <w:noProof/>
          <w:sz w:val="22"/>
        </w:rPr>
        <w:t>, 60(5), pp.893–907. Available at: http://onlinelibrary.wiley.com/doi/10.1111/j.0014-3820.2006.tb01169.x/abstract.</w:t>
      </w:r>
    </w:p>
    <w:p w14:paraId="0D8D923E" w14:textId="77777777" w:rsidR="00E111CB" w:rsidRPr="00E111CB" w:rsidRDefault="00E111CB" w:rsidP="00E111CB">
      <w:pPr>
        <w:widowControl w:val="0"/>
        <w:autoSpaceDE w:val="0"/>
        <w:autoSpaceDN w:val="0"/>
        <w:adjustRightInd w:val="0"/>
        <w:ind w:left="480" w:hanging="480"/>
        <w:rPr>
          <w:rFonts w:ascii="Arial" w:eastAsia="Times New Roman" w:hAnsi="Arial" w:cs="Arial"/>
          <w:noProof/>
          <w:sz w:val="22"/>
        </w:rPr>
      </w:pPr>
      <w:r w:rsidRPr="00E111CB">
        <w:rPr>
          <w:rFonts w:ascii="Arial" w:eastAsia="Times New Roman" w:hAnsi="Arial" w:cs="Arial"/>
          <w:noProof/>
          <w:sz w:val="22"/>
        </w:rPr>
        <w:t xml:space="preserve">Messer, P.W. &amp; Petrov, D.A., 2013. Population genomics of rapid adaptation by soft selective sweeps. </w:t>
      </w:r>
      <w:r w:rsidRPr="00E111CB">
        <w:rPr>
          <w:rFonts w:ascii="Arial" w:eastAsia="Times New Roman" w:hAnsi="Arial" w:cs="Arial"/>
          <w:i/>
          <w:iCs/>
          <w:noProof/>
          <w:sz w:val="22"/>
        </w:rPr>
        <w:t>Trends in Ecology and Evolution</w:t>
      </w:r>
      <w:r w:rsidRPr="00E111CB">
        <w:rPr>
          <w:rFonts w:ascii="Arial" w:eastAsia="Times New Roman" w:hAnsi="Arial" w:cs="Arial"/>
          <w:noProof/>
          <w:sz w:val="22"/>
        </w:rPr>
        <w:t>, 28(11), pp.659–669. Available at: http://dx.doi.org/10.1016/j.tree.2013.08.003.</w:t>
      </w:r>
    </w:p>
    <w:p w14:paraId="0B3015DD" w14:textId="77777777" w:rsidR="00E111CB" w:rsidRPr="00E111CB" w:rsidRDefault="00E111CB" w:rsidP="00E111CB">
      <w:pPr>
        <w:widowControl w:val="0"/>
        <w:autoSpaceDE w:val="0"/>
        <w:autoSpaceDN w:val="0"/>
        <w:adjustRightInd w:val="0"/>
        <w:ind w:left="480" w:hanging="480"/>
        <w:rPr>
          <w:rFonts w:ascii="Arial" w:eastAsia="Times New Roman" w:hAnsi="Arial" w:cs="Arial"/>
          <w:noProof/>
          <w:sz w:val="22"/>
        </w:rPr>
      </w:pPr>
      <w:r w:rsidRPr="00E111CB">
        <w:rPr>
          <w:rFonts w:ascii="Arial" w:eastAsia="Times New Roman" w:hAnsi="Arial" w:cs="Arial"/>
          <w:noProof/>
          <w:sz w:val="22"/>
        </w:rPr>
        <w:t xml:space="preserve">Orr, H.A., 2000. Adaptation and the Cost of Complexity. </w:t>
      </w:r>
      <w:r w:rsidRPr="00E111CB">
        <w:rPr>
          <w:rFonts w:ascii="Arial" w:eastAsia="Times New Roman" w:hAnsi="Arial" w:cs="Arial"/>
          <w:i/>
          <w:iCs/>
          <w:noProof/>
          <w:sz w:val="22"/>
        </w:rPr>
        <w:t>Evolution</w:t>
      </w:r>
      <w:r w:rsidRPr="00E111CB">
        <w:rPr>
          <w:rFonts w:ascii="Arial" w:eastAsia="Times New Roman" w:hAnsi="Arial" w:cs="Arial"/>
          <w:noProof/>
          <w:sz w:val="22"/>
        </w:rPr>
        <w:t>, 54(1), pp.13–20. Available at: http://doi.wiley.com/10.1111/j.0014-3820.2000.tb00002.x.</w:t>
      </w:r>
    </w:p>
    <w:p w14:paraId="4EC381BF" w14:textId="77777777" w:rsidR="00E111CB" w:rsidRPr="00E111CB" w:rsidRDefault="00E111CB" w:rsidP="00E111CB">
      <w:pPr>
        <w:widowControl w:val="0"/>
        <w:autoSpaceDE w:val="0"/>
        <w:autoSpaceDN w:val="0"/>
        <w:adjustRightInd w:val="0"/>
        <w:ind w:left="480" w:hanging="480"/>
        <w:rPr>
          <w:rFonts w:ascii="Arial" w:eastAsia="Times New Roman" w:hAnsi="Arial" w:cs="Arial"/>
          <w:noProof/>
          <w:sz w:val="22"/>
        </w:rPr>
      </w:pPr>
      <w:r w:rsidRPr="00E111CB">
        <w:rPr>
          <w:rFonts w:ascii="Arial" w:eastAsia="Times New Roman" w:hAnsi="Arial" w:cs="Arial"/>
          <w:noProof/>
          <w:sz w:val="22"/>
        </w:rPr>
        <w:t xml:space="preserve">Paaby, A.B. &amp; Rockman, M. V., 2013. The many faces of pleiotropy. </w:t>
      </w:r>
      <w:r w:rsidRPr="00E111CB">
        <w:rPr>
          <w:rFonts w:ascii="Arial" w:eastAsia="Times New Roman" w:hAnsi="Arial" w:cs="Arial"/>
          <w:i/>
          <w:iCs/>
          <w:noProof/>
          <w:sz w:val="22"/>
        </w:rPr>
        <w:t>Trends in Genetics</w:t>
      </w:r>
      <w:r w:rsidRPr="00E111CB">
        <w:rPr>
          <w:rFonts w:ascii="Arial" w:eastAsia="Times New Roman" w:hAnsi="Arial" w:cs="Arial"/>
          <w:noProof/>
          <w:sz w:val="22"/>
        </w:rPr>
        <w:t>, 29(2), pp.66–73. Available at: http://dx.doi.org/10.1016/j.tig.2012.10.010.</w:t>
      </w:r>
    </w:p>
    <w:p w14:paraId="3D555AA6" w14:textId="77777777" w:rsidR="00E111CB" w:rsidRPr="00E111CB" w:rsidRDefault="00E111CB" w:rsidP="00E111CB">
      <w:pPr>
        <w:widowControl w:val="0"/>
        <w:autoSpaceDE w:val="0"/>
        <w:autoSpaceDN w:val="0"/>
        <w:adjustRightInd w:val="0"/>
        <w:ind w:left="480" w:hanging="480"/>
        <w:rPr>
          <w:rFonts w:ascii="Arial" w:eastAsia="Times New Roman" w:hAnsi="Arial" w:cs="Arial"/>
          <w:noProof/>
          <w:sz w:val="22"/>
        </w:rPr>
      </w:pPr>
      <w:r w:rsidRPr="00E111CB">
        <w:rPr>
          <w:rFonts w:ascii="Arial" w:eastAsia="Times New Roman" w:hAnsi="Arial" w:cs="Arial"/>
          <w:noProof/>
          <w:sz w:val="22"/>
        </w:rPr>
        <w:t xml:space="preserve">Poon, A. &amp; Otto, S.P., 2000. Compensating for our load of mutations: freezing the meltdown of small populations. </w:t>
      </w:r>
      <w:r w:rsidRPr="00E111CB">
        <w:rPr>
          <w:rFonts w:ascii="Arial" w:eastAsia="Times New Roman" w:hAnsi="Arial" w:cs="Arial"/>
          <w:i/>
          <w:iCs/>
          <w:noProof/>
          <w:sz w:val="22"/>
        </w:rPr>
        <w:t>Evolution</w:t>
      </w:r>
      <w:r w:rsidRPr="00E111CB">
        <w:rPr>
          <w:rFonts w:ascii="Arial" w:eastAsia="Times New Roman" w:hAnsi="Arial" w:cs="Arial"/>
          <w:noProof/>
          <w:sz w:val="22"/>
        </w:rPr>
        <w:t>, 54(5), pp.1467–1479.</w:t>
      </w:r>
    </w:p>
    <w:p w14:paraId="0E83591E" w14:textId="77777777" w:rsidR="00E111CB" w:rsidRPr="00E111CB" w:rsidRDefault="00E111CB" w:rsidP="00E111CB">
      <w:pPr>
        <w:widowControl w:val="0"/>
        <w:autoSpaceDE w:val="0"/>
        <w:autoSpaceDN w:val="0"/>
        <w:adjustRightInd w:val="0"/>
        <w:ind w:left="480" w:hanging="480"/>
        <w:rPr>
          <w:rFonts w:ascii="Arial" w:eastAsia="Times New Roman" w:hAnsi="Arial" w:cs="Arial"/>
          <w:noProof/>
          <w:sz w:val="22"/>
        </w:rPr>
      </w:pPr>
      <w:r w:rsidRPr="00E111CB">
        <w:rPr>
          <w:rFonts w:ascii="Arial" w:eastAsia="Times New Roman" w:hAnsi="Arial" w:cs="Arial"/>
          <w:noProof/>
          <w:sz w:val="22"/>
        </w:rPr>
        <w:t xml:space="preserve">Tenaillon, O. et al., 2007. Quantifying organismal complexity using a population genetic approach. </w:t>
      </w:r>
      <w:r w:rsidRPr="00E111CB">
        <w:rPr>
          <w:rFonts w:ascii="Arial" w:eastAsia="Times New Roman" w:hAnsi="Arial" w:cs="Arial"/>
          <w:i/>
          <w:iCs/>
          <w:noProof/>
          <w:sz w:val="22"/>
        </w:rPr>
        <w:t>PLoS ONE</w:t>
      </w:r>
      <w:r w:rsidRPr="00E111CB">
        <w:rPr>
          <w:rFonts w:ascii="Arial" w:eastAsia="Times New Roman" w:hAnsi="Arial" w:cs="Arial"/>
          <w:noProof/>
          <w:sz w:val="22"/>
        </w:rPr>
        <w:t>, 2(2).</w:t>
      </w:r>
    </w:p>
    <w:p w14:paraId="5FFE79F6" w14:textId="77777777" w:rsidR="00E111CB" w:rsidRPr="00E111CB" w:rsidRDefault="00E111CB" w:rsidP="00E111CB">
      <w:pPr>
        <w:widowControl w:val="0"/>
        <w:autoSpaceDE w:val="0"/>
        <w:autoSpaceDN w:val="0"/>
        <w:adjustRightInd w:val="0"/>
        <w:ind w:left="480" w:hanging="480"/>
        <w:rPr>
          <w:rFonts w:ascii="Arial" w:eastAsia="Times New Roman" w:hAnsi="Arial" w:cs="Arial"/>
          <w:noProof/>
          <w:sz w:val="22"/>
        </w:rPr>
      </w:pPr>
      <w:r w:rsidRPr="00E111CB">
        <w:rPr>
          <w:rFonts w:ascii="Arial" w:eastAsia="Times New Roman" w:hAnsi="Arial" w:cs="Arial"/>
          <w:noProof/>
          <w:sz w:val="22"/>
        </w:rPr>
        <w:t xml:space="preserve">Venkataram, S. et al., 2016. Development of a Comprehensive Genotype-to-Fitness Map of Adaptation-Driving Mutations in Yeast. </w:t>
      </w:r>
      <w:r w:rsidRPr="00E111CB">
        <w:rPr>
          <w:rFonts w:ascii="Arial" w:eastAsia="Times New Roman" w:hAnsi="Arial" w:cs="Arial"/>
          <w:i/>
          <w:iCs/>
          <w:noProof/>
          <w:sz w:val="22"/>
        </w:rPr>
        <w:t>Cell</w:t>
      </w:r>
      <w:r w:rsidRPr="00E111CB">
        <w:rPr>
          <w:rFonts w:ascii="Arial" w:eastAsia="Times New Roman" w:hAnsi="Arial" w:cs="Arial"/>
          <w:noProof/>
          <w:sz w:val="22"/>
        </w:rPr>
        <w:t>, 166(6), p.1585–1596.e22.</w:t>
      </w:r>
    </w:p>
    <w:p w14:paraId="4099B6B2" w14:textId="77777777" w:rsidR="00E111CB" w:rsidRPr="00E111CB" w:rsidRDefault="00E111CB" w:rsidP="00E111CB">
      <w:pPr>
        <w:widowControl w:val="0"/>
        <w:autoSpaceDE w:val="0"/>
        <w:autoSpaceDN w:val="0"/>
        <w:adjustRightInd w:val="0"/>
        <w:ind w:left="480" w:hanging="480"/>
        <w:rPr>
          <w:rFonts w:ascii="Arial" w:eastAsia="Times New Roman" w:hAnsi="Arial" w:cs="Arial"/>
          <w:noProof/>
          <w:sz w:val="22"/>
        </w:rPr>
      </w:pPr>
      <w:r w:rsidRPr="00E111CB">
        <w:rPr>
          <w:rFonts w:ascii="Arial" w:eastAsia="Times New Roman" w:hAnsi="Arial" w:cs="Arial"/>
          <w:noProof/>
          <w:sz w:val="22"/>
        </w:rPr>
        <w:t xml:space="preserve">de Visser, J.A.G.M. et al., 1999. Diminishing returns from mutation rate supply in asexual populations. </w:t>
      </w:r>
      <w:r w:rsidRPr="00E111CB">
        <w:rPr>
          <w:rFonts w:ascii="Arial" w:eastAsia="Times New Roman" w:hAnsi="Arial" w:cs="Arial"/>
          <w:i/>
          <w:iCs/>
          <w:noProof/>
          <w:sz w:val="22"/>
        </w:rPr>
        <w:t>Science</w:t>
      </w:r>
      <w:r w:rsidRPr="00E111CB">
        <w:rPr>
          <w:rFonts w:ascii="Arial" w:eastAsia="Times New Roman" w:hAnsi="Arial" w:cs="Arial"/>
          <w:noProof/>
          <w:sz w:val="22"/>
        </w:rPr>
        <w:t>, 283(January), pp.404–407.</w:t>
      </w:r>
    </w:p>
    <w:p w14:paraId="6402ACD1" w14:textId="77777777" w:rsidR="00E111CB" w:rsidRPr="00E111CB" w:rsidRDefault="00E111CB" w:rsidP="00E111CB">
      <w:pPr>
        <w:widowControl w:val="0"/>
        <w:autoSpaceDE w:val="0"/>
        <w:autoSpaceDN w:val="0"/>
        <w:adjustRightInd w:val="0"/>
        <w:ind w:left="480" w:hanging="480"/>
        <w:rPr>
          <w:rFonts w:ascii="Arial" w:eastAsia="Times New Roman" w:hAnsi="Arial" w:cs="Arial"/>
          <w:noProof/>
          <w:sz w:val="22"/>
        </w:rPr>
      </w:pPr>
      <w:r w:rsidRPr="00E111CB">
        <w:rPr>
          <w:rFonts w:ascii="Arial" w:eastAsia="Times New Roman" w:hAnsi="Arial" w:cs="Arial"/>
          <w:noProof/>
          <w:sz w:val="22"/>
        </w:rPr>
        <w:t xml:space="preserve">Weinreich, D.M. &amp; Knies, J.L., 2013. Fisher’s Geometric Model Of Adaptation Meets The Functional Synthesis: Data On Pairwise Epistasis For Fitness Yields Insights Into The Shape And Size Of Phenotype Space. </w:t>
      </w:r>
      <w:r w:rsidRPr="00E111CB">
        <w:rPr>
          <w:rFonts w:ascii="Arial" w:eastAsia="Times New Roman" w:hAnsi="Arial" w:cs="Arial"/>
          <w:i/>
          <w:iCs/>
          <w:noProof/>
          <w:sz w:val="22"/>
        </w:rPr>
        <w:t>Evolution</w:t>
      </w:r>
      <w:r w:rsidRPr="00E111CB">
        <w:rPr>
          <w:rFonts w:ascii="Arial" w:eastAsia="Times New Roman" w:hAnsi="Arial" w:cs="Arial"/>
          <w:noProof/>
          <w:sz w:val="22"/>
        </w:rPr>
        <w:t>, 67(10), pp.2957–2972.</w:t>
      </w:r>
    </w:p>
    <w:p w14:paraId="55ACCC2E" w14:textId="77777777" w:rsidR="00E111CB" w:rsidRPr="00E111CB" w:rsidRDefault="00E111CB" w:rsidP="00E111CB">
      <w:pPr>
        <w:widowControl w:val="0"/>
        <w:autoSpaceDE w:val="0"/>
        <w:autoSpaceDN w:val="0"/>
        <w:adjustRightInd w:val="0"/>
        <w:ind w:left="480" w:hanging="480"/>
        <w:rPr>
          <w:rFonts w:ascii="Arial" w:hAnsi="Arial" w:cs="Arial"/>
          <w:noProof/>
          <w:sz w:val="22"/>
        </w:rPr>
      </w:pPr>
      <w:r w:rsidRPr="00E111CB">
        <w:rPr>
          <w:rFonts w:ascii="Arial" w:eastAsia="Times New Roman" w:hAnsi="Arial" w:cs="Arial"/>
          <w:noProof/>
          <w:sz w:val="22"/>
        </w:rPr>
        <w:t xml:space="preserve">Wiser, M.J., Ribeck, N. &amp; Lenski, R.E., 2013. Long-Term Dynamics of Adaptation in Asexual Populations. </w:t>
      </w:r>
      <w:r w:rsidRPr="00E111CB">
        <w:rPr>
          <w:rFonts w:ascii="Arial" w:eastAsia="Times New Roman" w:hAnsi="Arial" w:cs="Arial"/>
          <w:i/>
          <w:iCs/>
          <w:noProof/>
          <w:sz w:val="22"/>
        </w:rPr>
        <w:t>Science</w:t>
      </w:r>
      <w:r w:rsidRPr="00E111CB">
        <w:rPr>
          <w:rFonts w:ascii="Arial" w:eastAsia="Times New Roman" w:hAnsi="Arial" w:cs="Arial"/>
          <w:noProof/>
          <w:sz w:val="22"/>
        </w:rPr>
        <w:t>, 342(6164), pp.1364–1367.</w:t>
      </w:r>
    </w:p>
    <w:p w14:paraId="158991CE" w14:textId="5CE9678A" w:rsidR="00505574" w:rsidRPr="00505574" w:rsidRDefault="004B0CE4" w:rsidP="00E111CB">
      <w:pPr>
        <w:widowControl w:val="0"/>
        <w:autoSpaceDE w:val="0"/>
        <w:autoSpaceDN w:val="0"/>
        <w:adjustRightInd w:val="0"/>
        <w:ind w:left="480" w:hanging="480"/>
        <w:rPr>
          <w:rFonts w:ascii="Arial" w:hAnsi="Arial" w:cs="Arial"/>
          <w:b/>
          <w:bCs/>
          <w:color w:val="000000"/>
          <w:sz w:val="22"/>
          <w:szCs w:val="22"/>
        </w:rPr>
      </w:pPr>
      <w:r>
        <w:rPr>
          <w:rFonts w:ascii="Arial" w:hAnsi="Arial" w:cs="Arial"/>
          <w:b/>
          <w:bCs/>
          <w:color w:val="000000"/>
          <w:sz w:val="22"/>
          <w:szCs w:val="22"/>
        </w:rPr>
        <w:fldChar w:fldCharType="end"/>
      </w:r>
    </w:p>
    <w:p w14:paraId="1FA716E8" w14:textId="77777777" w:rsidR="00505574" w:rsidRDefault="00505574" w:rsidP="00505574">
      <w:pPr>
        <w:widowControl w:val="0"/>
        <w:autoSpaceDE w:val="0"/>
        <w:autoSpaceDN w:val="0"/>
        <w:adjustRightInd w:val="0"/>
        <w:rPr>
          <w:rFonts w:ascii="Arial" w:hAnsi="Arial" w:cs="Arial"/>
          <w:sz w:val="22"/>
          <w:szCs w:val="22"/>
        </w:rPr>
      </w:pPr>
    </w:p>
    <w:p w14:paraId="4984D8B9" w14:textId="77777777" w:rsidR="00512255" w:rsidRPr="00165B69" w:rsidRDefault="00512255" w:rsidP="00512255">
      <w:pPr>
        <w:widowControl w:val="0"/>
        <w:autoSpaceDE w:val="0"/>
        <w:autoSpaceDN w:val="0"/>
        <w:adjustRightInd w:val="0"/>
        <w:spacing w:after="240" w:line="288" w:lineRule="auto"/>
        <w:rPr>
          <w:rFonts w:ascii="Arial" w:eastAsiaTheme="minorEastAsia" w:hAnsi="Arial" w:cs="Arial"/>
          <w:color w:val="000000"/>
          <w:sz w:val="22"/>
          <w:szCs w:val="22"/>
        </w:rPr>
      </w:pPr>
      <m:oMathPara>
        <m:oMath>
          <m:r>
            <w:rPr>
              <w:rFonts w:ascii="Cambria Math" w:hAnsi="Cambria Math" w:cs="Arial"/>
              <w:color w:val="000000"/>
              <w:sz w:val="22"/>
              <w:szCs w:val="22"/>
            </w:rPr>
            <m:t>S</m:t>
          </m:r>
          <m:d>
            <m:dPr>
              <m:ctrlPr>
                <w:rPr>
                  <w:rFonts w:ascii="Cambria Math" w:hAnsi="Cambria Math" w:cs="Arial"/>
                  <w:i/>
                  <w:color w:val="000000"/>
                  <w:sz w:val="22"/>
                  <w:szCs w:val="22"/>
                </w:rPr>
              </m:ctrlPr>
            </m:dPr>
            <m:e>
              <m:r>
                <w:rPr>
                  <w:rFonts w:ascii="Cambria Math" w:hAnsi="Cambria Math" w:cs="Arial"/>
                  <w:color w:val="000000"/>
                  <w:sz w:val="22"/>
                  <w:szCs w:val="22"/>
                </w:rPr>
                <m:t>x,o,a | f,ϵ</m:t>
              </m:r>
            </m:e>
          </m:d>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j=1</m:t>
              </m:r>
            </m:sub>
            <m:sup>
              <m:r>
                <w:rPr>
                  <w:rFonts w:ascii="Cambria Math" w:hAnsi="Cambria Math" w:cs="Arial"/>
                  <w:color w:val="000000"/>
                  <w:sz w:val="22"/>
                  <w:szCs w:val="22"/>
                </w:rPr>
                <m:t>M</m:t>
              </m:r>
            </m:sup>
            <m:e>
              <m:nary>
                <m:naryPr>
                  <m:chr m:val="∑"/>
                  <m:ctrlPr>
                    <w:rPr>
                      <w:rFonts w:ascii="Cambria Math" w:hAnsi="Cambria Math" w:cs="Arial"/>
                      <w:i/>
                      <w:color w:val="000000"/>
                      <w:sz w:val="22"/>
                      <w:szCs w:val="22"/>
                    </w:rPr>
                  </m:ctrlPr>
                </m:naryPr>
                <m:sub>
                  <m:r>
                    <w:rPr>
                      <w:rFonts w:ascii="Cambria Math" w:hAnsi="Cambria Math" w:cs="Arial"/>
                      <w:color w:val="000000"/>
                      <w:sz w:val="22"/>
                      <w:szCs w:val="22"/>
                    </w:rPr>
                    <m:t>k=1</m:t>
                  </m:r>
                </m:sub>
                <m:sup>
                  <m:r>
                    <w:rPr>
                      <w:rFonts w:ascii="Cambria Math" w:hAnsi="Cambria Math" w:cs="Arial"/>
                      <w:color w:val="000000"/>
                      <w:sz w:val="22"/>
                      <w:szCs w:val="22"/>
                    </w:rPr>
                    <m:t>C</m:t>
                  </m:r>
                </m:sup>
                <m:e>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sSup>
                    <m:sSupPr>
                      <m:ctrlPr>
                        <w:rPr>
                          <w:rFonts w:ascii="Cambria Math" w:hAnsi="Cambria Math" w:cs="Arial"/>
                          <w:i/>
                          <w:color w:val="000000"/>
                          <w:sz w:val="22"/>
                          <w:szCs w:val="22"/>
                        </w:rPr>
                      </m:ctrlPr>
                    </m:sSupPr>
                    <m:e>
                      <m:d>
                        <m:dPr>
                          <m:begChr m:val="["/>
                          <m:endChr m:val="]"/>
                          <m:ctrlPr>
                            <w:rPr>
                              <w:rFonts w:ascii="Cambria Math" w:hAnsi="Cambria Math" w:cs="Arial"/>
                              <w:i/>
                              <w:color w:val="000000"/>
                              <w:sz w:val="22"/>
                              <w:szCs w:val="22"/>
                            </w:rPr>
                          </m:ctrlPr>
                        </m:dPr>
                        <m:e>
                          <m:d>
                            <m:dPr>
                              <m:ctrlPr>
                                <w:rPr>
                                  <w:rFonts w:ascii="Cambria Math" w:hAnsi="Cambria Math" w:cs="Arial"/>
                                  <w:i/>
                                  <w:color w:val="000000"/>
                                  <w:sz w:val="22"/>
                                  <w:szCs w:val="22"/>
                                </w:rPr>
                              </m:ctrlPr>
                            </m:dPr>
                            <m:e>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r>
                                <w:rPr>
                                  <w:rFonts w:ascii="Cambria Math" w:hAnsi="Cambria Math" w:cs="Arial"/>
                                  <w:color w:val="000000"/>
                                  <w:sz w:val="22"/>
                                  <w:szCs w:val="22"/>
                                </w:rPr>
                                <m:t>-</m:t>
                              </m:r>
                              <m:d>
                                <m:dPr>
                                  <m:ctrlPr>
                                    <w:rPr>
                                      <w:rFonts w:ascii="Cambria Math" w:hAnsi="Cambria Math" w:cs="Arial"/>
                                      <w:i/>
                                      <w:color w:val="000000"/>
                                      <w:sz w:val="22"/>
                                      <w:szCs w:val="22"/>
                                    </w:rPr>
                                  </m:ctrlPr>
                                </m:dPr>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r>
                                            <w:rPr>
                                              <w:rFonts w:ascii="Cambria Math" w:hAnsi="Cambria Math" w:cs="Arial"/>
                                              <w:color w:val="000000"/>
                                              <w:sz w:val="22"/>
                                              <w:szCs w:val="22"/>
                                            </w:rPr>
                                            <m:t>a-</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1k</m:t>
                                              </m:r>
                                            </m:sub>
                                          </m:sSub>
                                        </m:e>
                                      </m:d>
                                    </m:e>
                                    <m:sup>
                                      <m:r>
                                        <w:rPr>
                                          <w:rFonts w:ascii="Cambria Math" w:hAnsi="Cambria Math" w:cs="Arial"/>
                                          <w:color w:val="000000"/>
                                          <w:sz w:val="22"/>
                                          <w:szCs w:val="22"/>
                                        </w:rPr>
                                        <m:t>2</m:t>
                                      </m:r>
                                    </m:sup>
                                  </m:sSup>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i=2</m:t>
                                      </m:r>
                                    </m:sub>
                                    <m:sup>
                                      <m:r>
                                        <w:rPr>
                                          <w:rFonts w:ascii="Cambria Math" w:hAnsi="Cambria Math" w:cs="Arial"/>
                                          <w:color w:val="000000"/>
                                          <w:sz w:val="22"/>
                                          <w:szCs w:val="22"/>
                                        </w:rPr>
                                        <m:t>D</m:t>
                                      </m:r>
                                    </m:sup>
                                    <m:e>
                                      <m:sSubSup>
                                        <m:sSubSupPr>
                                          <m:ctrlPr>
                                            <w:rPr>
                                              <w:rFonts w:ascii="Cambria Math" w:hAnsi="Cambria Math" w:cs="Arial"/>
                                              <w:i/>
                                              <w:color w:val="000000"/>
                                              <w:sz w:val="22"/>
                                              <w:szCs w:val="22"/>
                                            </w:rPr>
                                          </m:ctrlPr>
                                        </m:sSubSupPr>
                                        <m:e>
                                          <m:r>
                                            <w:rPr>
                                              <w:rFonts w:ascii="Cambria Math" w:hAnsi="Cambria Math" w:cs="Arial"/>
                                              <w:color w:val="000000"/>
                                              <w:sz w:val="22"/>
                                              <w:szCs w:val="22"/>
                                            </w:rPr>
                                            <m:t>o</m:t>
                                          </m:r>
                                        </m:e>
                                        <m:sub>
                                          <m:r>
                                            <w:rPr>
                                              <w:rFonts w:ascii="Cambria Math" w:hAnsi="Cambria Math" w:cs="Arial"/>
                                              <w:color w:val="000000"/>
                                              <w:sz w:val="22"/>
                                              <w:szCs w:val="22"/>
                                            </w:rPr>
                                            <m:t>ik</m:t>
                                          </m:r>
                                        </m:sub>
                                        <m:sup>
                                          <m:r>
                                            <w:rPr>
                                              <w:rFonts w:ascii="Cambria Math" w:hAnsi="Cambria Math" w:cs="Arial"/>
                                              <w:color w:val="000000"/>
                                              <w:sz w:val="22"/>
                                              <w:szCs w:val="22"/>
                                            </w:rPr>
                                            <m:t>2</m:t>
                                          </m:r>
                                        </m:sup>
                                      </m:sSubSup>
                                      <m:r>
                                        <w:rPr>
                                          <w:rFonts w:ascii="Cambria Math" w:hAnsi="Cambria Math" w:cs="Arial"/>
                                          <w:color w:val="000000"/>
                                          <w:sz w:val="22"/>
                                          <w:szCs w:val="22"/>
                                        </w:rPr>
                                        <m:t xml:space="preserve"> </m:t>
                                      </m:r>
                                    </m:e>
                                  </m:nary>
                                </m:e>
                              </m:d>
                            </m:e>
                          </m:d>
                          <m:r>
                            <w:rPr>
                              <w:rFonts w:ascii="Cambria Math" w:hAnsi="Cambria Math" w:cs="Arial"/>
                              <w:color w:val="000000"/>
                              <w:sz w:val="22"/>
                              <w:szCs w:val="22"/>
                            </w:rPr>
                            <m:t>-2</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func>
                            <m:funcPr>
                              <m:ctrlPr>
                                <w:rPr>
                                  <w:rFonts w:ascii="Cambria Math" w:hAnsi="Cambria Math" w:cs="Arial"/>
                                  <w:color w:val="000000"/>
                                  <w:sz w:val="22"/>
                                  <w:szCs w:val="22"/>
                                </w:rPr>
                              </m:ctrlPr>
                            </m:funcPr>
                            <m:fName>
                              <m:r>
                                <m:rPr>
                                  <m:sty m:val="p"/>
                                </m:rPr>
                                <w:rPr>
                                  <w:rFonts w:ascii="Cambria Math" w:hAnsi="Cambria Math" w:cs="Arial"/>
                                  <w:color w:val="000000"/>
                                  <w:sz w:val="22"/>
                                  <w:szCs w:val="22"/>
                                </w:rPr>
                                <m:t>log</m:t>
                              </m:r>
                            </m:fName>
                            <m:e>
                              <m:d>
                                <m:dPr>
                                  <m:begChr m:val="["/>
                                  <m:endChr m:val="]"/>
                                  <m:ctrlPr>
                                    <w:rPr>
                                      <w:rFonts w:ascii="Cambria Math" w:hAnsi="Cambria Math" w:cs="Arial"/>
                                      <w:i/>
                                      <w:color w:val="000000"/>
                                      <w:sz w:val="22"/>
                                      <w:szCs w:val="22"/>
                                    </w:rPr>
                                  </m:ctrlPr>
                                </m:dPr>
                                <m:e>
                                  <m:r>
                                    <w:rPr>
                                      <w:rFonts w:ascii="Cambria Math" w:hAnsi="Cambria Math" w:cs="Arial"/>
                                      <w:color w:val="000000"/>
                                      <w:sz w:val="22"/>
                                      <w:szCs w:val="22"/>
                                    </w:rPr>
                                    <m:t>1+</m:t>
                                  </m:r>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e>
                              </m:d>
                            </m:e>
                          </m:func>
                        </m:e>
                      </m:d>
                    </m:e>
                    <m:sup>
                      <m:r>
                        <w:rPr>
                          <w:rFonts w:ascii="Cambria Math" w:hAnsi="Cambria Math" w:cs="Arial"/>
                          <w:color w:val="000000"/>
                          <w:sz w:val="22"/>
                          <w:szCs w:val="22"/>
                        </w:rPr>
                        <m:t>2</m:t>
                      </m:r>
                    </m:sup>
                  </m:sSup>
                </m:e>
              </m:nary>
            </m:e>
          </m:nary>
        </m:oMath>
      </m:oMathPara>
    </w:p>
    <w:p w14:paraId="087AFE63" w14:textId="77777777" w:rsidR="00512255" w:rsidRPr="00417E5E" w:rsidRDefault="00512255" w:rsidP="00512255">
      <w:pPr>
        <w:widowControl w:val="0"/>
        <w:autoSpaceDE w:val="0"/>
        <w:autoSpaceDN w:val="0"/>
        <w:adjustRightInd w:val="0"/>
        <w:spacing w:after="240" w:line="288" w:lineRule="auto"/>
        <w:rPr>
          <w:rFonts w:ascii="Arial" w:eastAsiaTheme="minorEastAsia" w:hAnsi="Arial" w:cs="Arial"/>
          <w:color w:val="000000"/>
          <w:sz w:val="22"/>
          <w:szCs w:val="22"/>
        </w:rPr>
      </w:pPr>
      <m:oMathPara>
        <m:oMath>
          <m:r>
            <w:rPr>
              <w:rFonts w:ascii="Cambria Math" w:hAnsi="Cambria Math" w:cs="Arial"/>
              <w:color w:val="000000"/>
              <w:sz w:val="22"/>
              <w:szCs w:val="22"/>
            </w:rPr>
            <m:t>S</m:t>
          </m:r>
          <m:d>
            <m:dPr>
              <m:ctrlPr>
                <w:rPr>
                  <w:rFonts w:ascii="Cambria Math" w:hAnsi="Cambria Math" w:cs="Arial"/>
                  <w:i/>
                  <w:color w:val="000000"/>
                  <w:sz w:val="22"/>
                  <w:szCs w:val="22"/>
                </w:rPr>
              </m:ctrlPr>
            </m:dPr>
            <m:e>
              <m:r>
                <w:rPr>
                  <w:rFonts w:ascii="Cambria Math" w:hAnsi="Cambria Math" w:cs="Arial"/>
                  <w:color w:val="000000"/>
                  <w:sz w:val="22"/>
                  <w:szCs w:val="22"/>
                </w:rPr>
                <m:t>x,o,a | f,ϵ</m:t>
              </m:r>
            </m:e>
          </m:d>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j=1</m:t>
              </m:r>
            </m:sub>
            <m:sup>
              <m:r>
                <w:rPr>
                  <w:rFonts w:ascii="Cambria Math" w:hAnsi="Cambria Math" w:cs="Arial"/>
                  <w:color w:val="000000"/>
                  <w:sz w:val="22"/>
                  <w:szCs w:val="22"/>
                </w:rPr>
                <m:t>M</m:t>
              </m:r>
            </m:sup>
            <m:e>
              <m:nary>
                <m:naryPr>
                  <m:chr m:val="∑"/>
                  <m:ctrlPr>
                    <w:rPr>
                      <w:rFonts w:ascii="Cambria Math" w:hAnsi="Cambria Math" w:cs="Arial"/>
                      <w:i/>
                      <w:color w:val="000000"/>
                      <w:sz w:val="22"/>
                      <w:szCs w:val="22"/>
                    </w:rPr>
                  </m:ctrlPr>
                </m:naryPr>
                <m:sub>
                  <m:r>
                    <w:rPr>
                      <w:rFonts w:ascii="Cambria Math" w:hAnsi="Cambria Math" w:cs="Arial"/>
                      <w:color w:val="000000"/>
                      <w:sz w:val="22"/>
                      <w:szCs w:val="22"/>
                    </w:rPr>
                    <m:t>k=1</m:t>
                  </m:r>
                </m:sub>
                <m:sup>
                  <m:r>
                    <w:rPr>
                      <w:rFonts w:ascii="Cambria Math" w:hAnsi="Cambria Math" w:cs="Arial"/>
                      <w:color w:val="000000"/>
                      <w:sz w:val="22"/>
                      <w:szCs w:val="22"/>
                    </w:rPr>
                    <m:t>C</m:t>
                  </m:r>
                </m:sup>
                <m:e>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sSup>
                    <m:sSupPr>
                      <m:ctrlPr>
                        <w:rPr>
                          <w:rFonts w:ascii="Cambria Math" w:hAnsi="Cambria Math" w:cs="Arial"/>
                          <w:i/>
                          <w:color w:val="000000"/>
                          <w:sz w:val="22"/>
                          <w:szCs w:val="22"/>
                        </w:rPr>
                      </m:ctrlPr>
                    </m:sSupPr>
                    <m:e>
                      <m:d>
                        <m:dPr>
                          <m:begChr m:val="["/>
                          <m:endChr m:val="]"/>
                          <m:ctrlPr>
                            <w:rPr>
                              <w:rFonts w:ascii="Cambria Math" w:hAnsi="Cambria Math" w:cs="Arial"/>
                              <w:i/>
                              <w:color w:val="000000"/>
                              <w:sz w:val="22"/>
                              <w:szCs w:val="22"/>
                            </w:rPr>
                          </m:ctrlPr>
                        </m:dPr>
                        <m:e>
                          <m:d>
                            <m:dPr>
                              <m:ctrlPr>
                                <w:rPr>
                                  <w:rFonts w:ascii="Cambria Math" w:hAnsi="Cambria Math" w:cs="Arial"/>
                                  <w:i/>
                                  <w:color w:val="000000"/>
                                  <w:sz w:val="22"/>
                                  <w:szCs w:val="22"/>
                                </w:rPr>
                              </m:ctrlPr>
                            </m:dPr>
                            <m:e>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a</m:t>
                                              </m:r>
                                            </m:e>
                                            <m:sub>
                                              <m:r>
                                                <w:rPr>
                                                  <w:rFonts w:ascii="Cambria Math" w:hAnsi="Cambria Math" w:cs="Arial"/>
                                                  <w:color w:val="000000"/>
                                                  <w:sz w:val="22"/>
                                                  <w:szCs w:val="22"/>
                                                </w:rPr>
                                                <m:t>i</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e>
                          </m:d>
                          <m:r>
                            <w:rPr>
                              <w:rFonts w:ascii="Cambria Math" w:hAnsi="Cambria Math" w:cs="Arial"/>
                              <w:color w:val="000000"/>
                              <w:sz w:val="22"/>
                              <w:szCs w:val="22"/>
                            </w:rPr>
                            <m:t>+2</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func>
                            <m:funcPr>
                              <m:ctrlPr>
                                <w:rPr>
                                  <w:rFonts w:ascii="Cambria Math" w:hAnsi="Cambria Math" w:cs="Arial"/>
                                  <w:color w:val="000000"/>
                                  <w:sz w:val="22"/>
                                  <w:szCs w:val="22"/>
                                </w:rPr>
                              </m:ctrlPr>
                            </m:funcPr>
                            <m:fName>
                              <m:r>
                                <m:rPr>
                                  <m:sty m:val="p"/>
                                </m:rPr>
                                <w:rPr>
                                  <w:rFonts w:ascii="Cambria Math" w:hAnsi="Cambria Math" w:cs="Arial"/>
                                  <w:color w:val="000000"/>
                                  <w:sz w:val="22"/>
                                  <w:szCs w:val="22"/>
                                </w:rPr>
                                <m:t>log</m:t>
                              </m:r>
                            </m:fName>
                            <m:e>
                              <m:d>
                                <m:dPr>
                                  <m:begChr m:val="["/>
                                  <m:endChr m:val="]"/>
                                  <m:ctrlPr>
                                    <w:rPr>
                                      <w:rFonts w:ascii="Cambria Math" w:hAnsi="Cambria Math" w:cs="Arial"/>
                                      <w:i/>
                                      <w:color w:val="000000"/>
                                      <w:sz w:val="22"/>
                                      <w:szCs w:val="22"/>
                                    </w:rPr>
                                  </m:ctrlPr>
                                </m:dPr>
                                <m:e>
                                  <m:r>
                                    <w:rPr>
                                      <w:rFonts w:ascii="Cambria Math" w:hAnsi="Cambria Math" w:cs="Arial"/>
                                      <w:color w:val="000000"/>
                                      <w:sz w:val="22"/>
                                      <w:szCs w:val="22"/>
                                    </w:rPr>
                                    <m:t>1+</m:t>
                                  </m:r>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e>
                              </m:d>
                            </m:e>
                          </m:func>
                        </m:e>
                      </m:d>
                    </m:e>
                    <m:sup>
                      <m:r>
                        <w:rPr>
                          <w:rFonts w:ascii="Cambria Math" w:hAnsi="Cambria Math" w:cs="Arial"/>
                          <w:color w:val="000000"/>
                          <w:sz w:val="22"/>
                          <w:szCs w:val="22"/>
                        </w:rPr>
                        <m:t>2</m:t>
                      </m:r>
                    </m:sup>
                  </m:sSup>
                </m:e>
              </m:nary>
            </m:e>
          </m:nary>
        </m:oMath>
      </m:oMathPara>
    </w:p>
    <w:p w14:paraId="44D831E6" w14:textId="77777777" w:rsidR="00D06190" w:rsidRPr="00C62197" w:rsidRDefault="00D06190" w:rsidP="00505574">
      <w:pPr>
        <w:widowControl w:val="0"/>
        <w:autoSpaceDE w:val="0"/>
        <w:autoSpaceDN w:val="0"/>
        <w:adjustRightInd w:val="0"/>
        <w:rPr>
          <w:rFonts w:ascii="Arial" w:hAnsi="Arial" w:cs="Arial"/>
          <w:sz w:val="22"/>
          <w:szCs w:val="22"/>
        </w:rPr>
      </w:pPr>
    </w:p>
    <w:sectPr w:rsidR="00D06190" w:rsidRPr="00C62197" w:rsidSect="006357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rant Kinsler" w:date="2018-07-26T10:58:00Z" w:initials="GK">
    <w:p w14:paraId="7C3213F1" w14:textId="79C342FB" w:rsidR="000B751A" w:rsidRDefault="000B751A">
      <w:pPr>
        <w:pStyle w:val="CommentText"/>
      </w:pPr>
      <w:r>
        <w:rPr>
          <w:rStyle w:val="CommentReference"/>
        </w:rPr>
        <w:annotationRef/>
      </w:r>
      <w:r>
        <w:t xml:space="preserve">Additivity of phenotypes – any evidence that this is unrealistic (obviously in extreme of </w:t>
      </w:r>
      <w:r w:rsidR="00043F66">
        <w:t xml:space="preserve">deletion of recessive trait) – any generic features relating this to dominance? Christian Huber?  </w:t>
      </w:r>
    </w:p>
  </w:comment>
  <w:comment w:id="2" w:author="Grant Kinsler" w:date="2018-07-20T17:08:00Z" w:initials="GK">
    <w:p w14:paraId="0064BBBE" w14:textId="20A71B99" w:rsidR="000231B9" w:rsidRDefault="000231B9">
      <w:pPr>
        <w:pStyle w:val="CommentText"/>
      </w:pPr>
      <w:r>
        <w:rPr>
          <w:rStyle w:val="CommentReference"/>
        </w:rPr>
        <w:annotationRef/>
      </w:r>
      <w:r>
        <w:t xml:space="preserve">Punchier end of introduction paragraph – “we introduce a framework/method…” &lt;- what is it that we’re actually </w:t>
      </w:r>
      <w:r w:rsidR="009B3EC5">
        <w:t>introducing? A conceptual frame</w:t>
      </w:r>
      <w:r>
        <w:t>w</w:t>
      </w:r>
      <w:r w:rsidR="009B3EC5">
        <w:t>or</w:t>
      </w:r>
      <w:r>
        <w:t xml:space="preserve">k and a method? </w:t>
      </w:r>
    </w:p>
  </w:comment>
  <w:comment w:id="3" w:author="Grant Kinsler" w:date="2018-07-30T16:58:00Z" w:initials="GK">
    <w:p w14:paraId="57875451" w14:textId="4FB1DB40" w:rsidR="00E111CB" w:rsidRDefault="00E111CB">
      <w:pPr>
        <w:pStyle w:val="CommentText"/>
      </w:pPr>
      <w:r>
        <w:rPr>
          <w:rStyle w:val="CommentReference"/>
        </w:rPr>
        <w:annotationRef/>
      </w:r>
      <w:r>
        <w:t xml:space="preserve">Check this – I think it’s not generally true, but would be a nice result if it were. (check the FGM in many conditions paper Martin + </w:t>
      </w:r>
      <w:proofErr w:type="spellStart"/>
      <w:r>
        <w:t>Lenormand</w:t>
      </w:r>
      <w:proofErr w:type="spellEnd"/>
      <w:r>
        <w:t xml:space="preserve"> 2015)</w:t>
      </w:r>
      <w:r w:rsidR="00D9762B">
        <w:t xml:space="preserve"> – check assumptions in simulation? </w:t>
      </w:r>
    </w:p>
  </w:comment>
  <w:comment w:id="4" w:author="Grant Kinsler" w:date="2018-07-24T15:10:00Z" w:initials="GK">
    <w:p w14:paraId="306E83D0" w14:textId="765EA820" w:rsidR="003F1DFD" w:rsidRDefault="003F1DFD">
      <w:pPr>
        <w:pStyle w:val="CommentText"/>
      </w:pPr>
      <w:r>
        <w:rPr>
          <w:rStyle w:val="CommentReference"/>
        </w:rPr>
        <w:annotationRef/>
      </w:r>
      <w:r>
        <w:t>Comparison to SVD somewhere in here</w:t>
      </w:r>
    </w:p>
  </w:comment>
  <w:comment w:id="5" w:author="Grant Kinsler" w:date="2018-07-26T16:14:00Z" w:initials="GK">
    <w:p w14:paraId="2E518FD6" w14:textId="0EAE4803" w:rsidR="00E9642C" w:rsidRDefault="00E9642C">
      <w:pPr>
        <w:pStyle w:val="CommentText"/>
      </w:pPr>
      <w:r>
        <w:rPr>
          <w:rStyle w:val="CommentReference"/>
        </w:rPr>
        <w:annotationRef/>
      </w:r>
      <w:r>
        <w:t>Do we have a measure of uncertainty for our approach? (I don’t think so unless we use a likelihood framework</w:t>
      </w:r>
      <w:r w:rsidR="00607CEB">
        <w:t>)</w:t>
      </w:r>
      <w:r>
        <w:t xml:space="preserve"> – worth thinking about – how “certain” are we that particular values are in certain spots?</w:t>
      </w:r>
    </w:p>
  </w:comment>
  <w:comment w:id="6" w:author="Grant Kinsler" w:date="2018-07-20T16:52:00Z" w:initials="GK">
    <w:p w14:paraId="02746779" w14:textId="77777777" w:rsidR="00D03ABE" w:rsidRDefault="00D03ABE">
      <w:pPr>
        <w:pStyle w:val="CommentText"/>
      </w:pPr>
      <w:r>
        <w:rPr>
          <w:rStyle w:val="CommentReference"/>
        </w:rPr>
        <w:annotationRef/>
      </w:r>
      <w:r>
        <w:t xml:space="preserve">Need to include a comparison to other possible methods (SVD). Perhaps a brief overview of the technical differences and also differences in how these various metrics capture behavior (i.e. predict fitness). </w:t>
      </w:r>
    </w:p>
    <w:p w14:paraId="3EA3DC68" w14:textId="77777777" w:rsidR="00D03ABE" w:rsidRDefault="00D03ABE">
      <w:pPr>
        <w:pStyle w:val="CommentText"/>
      </w:pPr>
    </w:p>
    <w:p w14:paraId="1FA3AA6B" w14:textId="0DAAE75E" w:rsidR="00D03ABE" w:rsidRDefault="00D03ABE">
      <w:pPr>
        <w:pStyle w:val="CommentText"/>
      </w:pPr>
      <w:r>
        <w:t xml:space="preserve">Could be somewhat of an unfair comparison because we simulate fitness according to FGM, so of course we do better. </w:t>
      </w:r>
    </w:p>
    <w:p w14:paraId="7A9A548F" w14:textId="77777777" w:rsidR="00D03ABE" w:rsidRDefault="00D03ABE">
      <w:pPr>
        <w:pStyle w:val="CommentText"/>
      </w:pPr>
    </w:p>
    <w:p w14:paraId="707AA689" w14:textId="1F5A3FF5" w:rsidR="00D03ABE" w:rsidRDefault="00D03ABE">
      <w:pPr>
        <w:pStyle w:val="CommentText"/>
      </w:pPr>
      <w:r>
        <w:t xml:space="preserve">What’s a better way to simulate? Maybe we don’t need to compare to SVD? (But this is a natural </w:t>
      </w:r>
      <w:r w:rsidR="001F41FD">
        <w:t xml:space="preserve">question for readers) -  </w:t>
      </w:r>
      <w:r>
        <w:t>need to think about this.</w:t>
      </w:r>
    </w:p>
  </w:comment>
  <w:comment w:id="7" w:author="Grant Kinsler" w:date="2018-07-20T16:55:00Z" w:initials="GK">
    <w:p w14:paraId="386F06D2" w14:textId="4ACCDFC6" w:rsidR="00D03ABE" w:rsidRDefault="00D03ABE">
      <w:pPr>
        <w:pStyle w:val="CommentText"/>
      </w:pPr>
      <w:r>
        <w:rPr>
          <w:rStyle w:val="CommentReference"/>
        </w:rPr>
        <w:annotationRef/>
      </w:r>
      <w:r>
        <w:t xml:space="preserve">B is a bad figure – need a better way to visualize (1) correct fit and (2) how good that fit is. </w:t>
      </w:r>
    </w:p>
  </w:comment>
  <w:comment w:id="8" w:author="Grant Kinsler" w:date="2018-07-20T16:56:00Z" w:initials="GK">
    <w:p w14:paraId="30B18240" w14:textId="01C3096E" w:rsidR="00D03ABE" w:rsidRPr="00D03ABE" w:rsidRDefault="00D03ABE">
      <w:pPr>
        <w:pStyle w:val="CommentText"/>
      </w:pPr>
      <w:r>
        <w:rPr>
          <w:rStyle w:val="CommentReference"/>
        </w:rPr>
        <w:annotationRef/>
      </w:r>
      <w:r>
        <w:t xml:space="preserve">Is there a way to show this for a </w:t>
      </w:r>
      <w:r>
        <w:rPr>
          <w:i/>
        </w:rPr>
        <w:t>collection</w:t>
      </w:r>
      <w:r>
        <w:t xml:space="preserve"> of simulated conditions instead of just one? A comparison of R^2 values?</w:t>
      </w:r>
    </w:p>
  </w:comment>
  <w:comment w:id="9" w:author="Grant Kinsler" w:date="2018-07-25T17:31:00Z" w:initials="GK">
    <w:p w14:paraId="42387954" w14:textId="4FC8BC14" w:rsidR="00512255" w:rsidRDefault="00512255">
      <w:pPr>
        <w:pStyle w:val="CommentText"/>
      </w:pPr>
      <w:r>
        <w:rPr>
          <w:rStyle w:val="CommentReference"/>
        </w:rPr>
        <w:annotationRef/>
      </w:r>
      <w:r>
        <w:t>If we include this, should we be referring to “dimensionality of adaptation” throughout? Or should we instead present this first paper as “a new method to infer dimensionality” with the second 1BB paper specifically addressing the dimensionality question?</w:t>
      </w:r>
      <w:r w:rsidR="001F41FD">
        <w:t xml:space="preserve"> -&gt; is this a method for “inferring dimensionality” or “inferring dimensionality of adaptation?”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3213F1" w15:done="0"/>
  <w15:commentEx w15:paraId="0064BBBE" w15:done="0"/>
  <w15:commentEx w15:paraId="57875451" w15:done="0"/>
  <w15:commentEx w15:paraId="306E83D0" w15:done="0"/>
  <w15:commentEx w15:paraId="2E518FD6" w15:done="0"/>
  <w15:commentEx w15:paraId="707AA689" w15:done="0"/>
  <w15:commentEx w15:paraId="386F06D2" w15:done="0"/>
  <w15:commentEx w15:paraId="30B18240" w15:done="0"/>
  <w15:commentEx w15:paraId="4238795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44B337" w14:textId="77777777" w:rsidR="00760C9E" w:rsidRDefault="00760C9E" w:rsidP="00514E6A">
      <w:r>
        <w:separator/>
      </w:r>
    </w:p>
  </w:endnote>
  <w:endnote w:type="continuationSeparator" w:id="0">
    <w:p w14:paraId="4F62586C" w14:textId="77777777" w:rsidR="00760C9E" w:rsidRDefault="00760C9E" w:rsidP="00514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96E1F6" w14:textId="77777777" w:rsidR="00760C9E" w:rsidRDefault="00760C9E" w:rsidP="00514E6A">
      <w:r>
        <w:separator/>
      </w:r>
    </w:p>
  </w:footnote>
  <w:footnote w:type="continuationSeparator" w:id="0">
    <w:p w14:paraId="223D8BC5" w14:textId="77777777" w:rsidR="00760C9E" w:rsidRDefault="00760C9E" w:rsidP="00514E6A">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t Kinsler">
    <w15:presenceInfo w15:providerId="None" w15:userId="Grant Kins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A97"/>
    <w:rsid w:val="00015810"/>
    <w:rsid w:val="000231B9"/>
    <w:rsid w:val="00043F66"/>
    <w:rsid w:val="0007388B"/>
    <w:rsid w:val="00084EBA"/>
    <w:rsid w:val="000A6CBC"/>
    <w:rsid w:val="000B751A"/>
    <w:rsid w:val="00165B69"/>
    <w:rsid w:val="001C4C4D"/>
    <w:rsid w:val="001F41FD"/>
    <w:rsid w:val="001F70EB"/>
    <w:rsid w:val="002D14C9"/>
    <w:rsid w:val="002D41CE"/>
    <w:rsid w:val="003136F5"/>
    <w:rsid w:val="0035478A"/>
    <w:rsid w:val="00382C1E"/>
    <w:rsid w:val="00394AAD"/>
    <w:rsid w:val="003E14F4"/>
    <w:rsid w:val="003F1DFD"/>
    <w:rsid w:val="00417E5E"/>
    <w:rsid w:val="004B0CE4"/>
    <w:rsid w:val="004B55C3"/>
    <w:rsid w:val="004B5991"/>
    <w:rsid w:val="00505574"/>
    <w:rsid w:val="00512255"/>
    <w:rsid w:val="00514E6A"/>
    <w:rsid w:val="00567F8F"/>
    <w:rsid w:val="00584F02"/>
    <w:rsid w:val="005A6EF7"/>
    <w:rsid w:val="005F4F25"/>
    <w:rsid w:val="00607CEB"/>
    <w:rsid w:val="0062520A"/>
    <w:rsid w:val="0063577B"/>
    <w:rsid w:val="0063774E"/>
    <w:rsid w:val="006559E7"/>
    <w:rsid w:val="00661110"/>
    <w:rsid w:val="006821EB"/>
    <w:rsid w:val="006922EB"/>
    <w:rsid w:val="006E6CE4"/>
    <w:rsid w:val="006F1A0B"/>
    <w:rsid w:val="0073735C"/>
    <w:rsid w:val="00746BDE"/>
    <w:rsid w:val="00760C9E"/>
    <w:rsid w:val="007A5EDE"/>
    <w:rsid w:val="007C52AB"/>
    <w:rsid w:val="007E763A"/>
    <w:rsid w:val="00810FAF"/>
    <w:rsid w:val="00811D75"/>
    <w:rsid w:val="008527D2"/>
    <w:rsid w:val="008E4F25"/>
    <w:rsid w:val="008F4A97"/>
    <w:rsid w:val="00931644"/>
    <w:rsid w:val="00944390"/>
    <w:rsid w:val="00966099"/>
    <w:rsid w:val="009B3EC5"/>
    <w:rsid w:val="009C3512"/>
    <w:rsid w:val="009C72AD"/>
    <w:rsid w:val="009F1F02"/>
    <w:rsid w:val="00A50A6D"/>
    <w:rsid w:val="00A61656"/>
    <w:rsid w:val="00A67A0A"/>
    <w:rsid w:val="00AB1A44"/>
    <w:rsid w:val="00AB3BC2"/>
    <w:rsid w:val="00AE5D6D"/>
    <w:rsid w:val="00B40295"/>
    <w:rsid w:val="00BB0BF3"/>
    <w:rsid w:val="00C416F9"/>
    <w:rsid w:val="00C43E38"/>
    <w:rsid w:val="00C62197"/>
    <w:rsid w:val="00CB4875"/>
    <w:rsid w:val="00CC0C0C"/>
    <w:rsid w:val="00D03ABE"/>
    <w:rsid w:val="00D06190"/>
    <w:rsid w:val="00D61852"/>
    <w:rsid w:val="00D9762B"/>
    <w:rsid w:val="00DC20FE"/>
    <w:rsid w:val="00E111CB"/>
    <w:rsid w:val="00E53292"/>
    <w:rsid w:val="00E571E0"/>
    <w:rsid w:val="00E93051"/>
    <w:rsid w:val="00E9642C"/>
    <w:rsid w:val="00F33DD9"/>
    <w:rsid w:val="00F372FF"/>
    <w:rsid w:val="00F55574"/>
    <w:rsid w:val="00F564DB"/>
    <w:rsid w:val="00F975AB"/>
    <w:rsid w:val="00FA32C8"/>
    <w:rsid w:val="00FD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56A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20FE"/>
    <w:rPr>
      <w:color w:val="808080"/>
    </w:rPr>
  </w:style>
  <w:style w:type="character" w:styleId="CommentReference">
    <w:name w:val="annotation reference"/>
    <w:basedOn w:val="DefaultParagraphFont"/>
    <w:uiPriority w:val="99"/>
    <w:semiHidden/>
    <w:unhideWhenUsed/>
    <w:rsid w:val="00D03ABE"/>
    <w:rPr>
      <w:sz w:val="18"/>
      <w:szCs w:val="18"/>
    </w:rPr>
  </w:style>
  <w:style w:type="paragraph" w:styleId="CommentText">
    <w:name w:val="annotation text"/>
    <w:basedOn w:val="Normal"/>
    <w:link w:val="CommentTextChar"/>
    <w:uiPriority w:val="99"/>
    <w:semiHidden/>
    <w:unhideWhenUsed/>
    <w:rsid w:val="00D03ABE"/>
  </w:style>
  <w:style w:type="character" w:customStyle="1" w:styleId="CommentTextChar">
    <w:name w:val="Comment Text Char"/>
    <w:basedOn w:val="DefaultParagraphFont"/>
    <w:link w:val="CommentText"/>
    <w:uiPriority w:val="99"/>
    <w:semiHidden/>
    <w:rsid w:val="00D03ABE"/>
  </w:style>
  <w:style w:type="paragraph" w:styleId="CommentSubject">
    <w:name w:val="annotation subject"/>
    <w:basedOn w:val="CommentText"/>
    <w:next w:val="CommentText"/>
    <w:link w:val="CommentSubjectChar"/>
    <w:uiPriority w:val="99"/>
    <w:semiHidden/>
    <w:unhideWhenUsed/>
    <w:rsid w:val="00D03ABE"/>
    <w:rPr>
      <w:b/>
      <w:bCs/>
      <w:sz w:val="20"/>
      <w:szCs w:val="20"/>
    </w:rPr>
  </w:style>
  <w:style w:type="character" w:customStyle="1" w:styleId="CommentSubjectChar">
    <w:name w:val="Comment Subject Char"/>
    <w:basedOn w:val="CommentTextChar"/>
    <w:link w:val="CommentSubject"/>
    <w:uiPriority w:val="99"/>
    <w:semiHidden/>
    <w:rsid w:val="00D03ABE"/>
    <w:rPr>
      <w:b/>
      <w:bCs/>
      <w:sz w:val="20"/>
      <w:szCs w:val="20"/>
    </w:rPr>
  </w:style>
  <w:style w:type="paragraph" w:styleId="BalloonText">
    <w:name w:val="Balloon Text"/>
    <w:basedOn w:val="Normal"/>
    <w:link w:val="BalloonTextChar"/>
    <w:uiPriority w:val="99"/>
    <w:semiHidden/>
    <w:unhideWhenUsed/>
    <w:rsid w:val="00D03AB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3ABE"/>
    <w:rPr>
      <w:rFonts w:ascii="Times New Roman" w:hAnsi="Times New Roman" w:cs="Times New Roman"/>
      <w:sz w:val="18"/>
      <w:szCs w:val="18"/>
    </w:rPr>
  </w:style>
  <w:style w:type="paragraph" w:styleId="Caption">
    <w:name w:val="caption"/>
    <w:basedOn w:val="Normal"/>
    <w:next w:val="Normal"/>
    <w:uiPriority w:val="35"/>
    <w:unhideWhenUsed/>
    <w:qFormat/>
    <w:rsid w:val="0073735C"/>
    <w:pPr>
      <w:spacing w:after="200"/>
    </w:pPr>
    <w:rPr>
      <w:i/>
      <w:iCs/>
      <w:color w:val="44546A" w:themeColor="text2"/>
      <w:sz w:val="18"/>
      <w:szCs w:val="18"/>
    </w:rPr>
  </w:style>
  <w:style w:type="paragraph" w:styleId="Header">
    <w:name w:val="header"/>
    <w:basedOn w:val="Normal"/>
    <w:link w:val="HeaderChar"/>
    <w:uiPriority w:val="99"/>
    <w:unhideWhenUsed/>
    <w:rsid w:val="00514E6A"/>
    <w:pPr>
      <w:tabs>
        <w:tab w:val="center" w:pos="4680"/>
        <w:tab w:val="right" w:pos="9360"/>
      </w:tabs>
    </w:pPr>
  </w:style>
  <w:style w:type="character" w:customStyle="1" w:styleId="HeaderChar">
    <w:name w:val="Header Char"/>
    <w:basedOn w:val="DefaultParagraphFont"/>
    <w:link w:val="Header"/>
    <w:uiPriority w:val="99"/>
    <w:rsid w:val="00514E6A"/>
  </w:style>
  <w:style w:type="paragraph" w:styleId="Footer">
    <w:name w:val="footer"/>
    <w:basedOn w:val="Normal"/>
    <w:link w:val="FooterChar"/>
    <w:uiPriority w:val="99"/>
    <w:unhideWhenUsed/>
    <w:rsid w:val="00514E6A"/>
    <w:pPr>
      <w:tabs>
        <w:tab w:val="center" w:pos="4680"/>
        <w:tab w:val="right" w:pos="9360"/>
      </w:tabs>
    </w:pPr>
  </w:style>
  <w:style w:type="character" w:customStyle="1" w:styleId="FooterChar">
    <w:name w:val="Footer Char"/>
    <w:basedOn w:val="DefaultParagraphFont"/>
    <w:link w:val="Footer"/>
    <w:uiPriority w:val="99"/>
    <w:rsid w:val="00514E6A"/>
  </w:style>
  <w:style w:type="table" w:styleId="TableGrid">
    <w:name w:val="Table Grid"/>
    <w:basedOn w:val="TableNormal"/>
    <w:uiPriority w:val="39"/>
    <w:rsid w:val="00505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emf"/><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5EC10A7-A911-F64F-B1F6-5EB41B4B9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9</Pages>
  <Words>11037</Words>
  <Characters>62913</Characters>
  <Application>Microsoft Macintosh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Kinsler</dc:creator>
  <cp:keywords/>
  <dc:description/>
  <cp:lastModifiedBy>Grant Kinsler</cp:lastModifiedBy>
  <cp:revision>13</cp:revision>
  <dcterms:created xsi:type="dcterms:W3CDTF">2018-07-26T00:00:00Z</dcterms:created>
  <dcterms:modified xsi:type="dcterms:W3CDTF">2018-07-31T01:00:00Z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ed374b53-f93b-3a7d-8ffc-8e0ce6da9433</vt:lpwstr>
  </property>
  <property fmtid="{D5CDD505-2E9C-101B-9397-08002B2CF9AE}" pid="24" name="Mendeley Citation Style_1">
    <vt:lpwstr>http://www.zotero.org/styles/harvard1</vt:lpwstr>
  </property>
</Properties>
</file>