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4602" w14:textId="09CFE23C" w:rsidR="009C72AD" w:rsidRPr="00F372FF" w:rsidRDefault="00F372FF"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[Title TBD]</w:t>
      </w:r>
    </w:p>
    <w:p w14:paraId="167B7732" w14:textId="330CB9D5" w:rsidR="009C72AD" w:rsidRPr="009C72AD" w:rsidRDefault="009C72AD"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Grant Kinsler, Kerry Geiler-Samerotte, Dmitri Petrov</w:t>
      </w:r>
      <w:r w:rsidR="006E6CE4">
        <w:rPr>
          <w:rFonts w:ascii="Arial" w:hAnsi="Arial" w:cs="Arial"/>
          <w:bCs/>
          <w:color w:val="000000"/>
          <w:sz w:val="22"/>
          <w:szCs w:val="22"/>
        </w:rPr>
        <w:t xml:space="preserve">  - [chris?]</w:t>
      </w:r>
    </w:p>
    <w:p w14:paraId="17AC3A5D" w14:textId="77777777" w:rsidR="008F4A97" w:rsidRDefault="008F4A97"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Introduction</w:t>
      </w:r>
    </w:p>
    <w:p w14:paraId="26AB2A68" w14:textId="3F33588C" w:rsidR="003E14F4" w:rsidRDefault="003E14F4"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[conceptual question – what’s a </w:t>
      </w:r>
      <w:commentRangeStart w:id="0"/>
      <w:r>
        <w:rPr>
          <w:rFonts w:ascii="Arial" w:hAnsi="Arial" w:cs="Arial"/>
          <w:bCs/>
          <w:color w:val="000000"/>
          <w:sz w:val="22"/>
          <w:szCs w:val="22"/>
        </w:rPr>
        <w:t>phenotype</w:t>
      </w:r>
      <w:commentRangeEnd w:id="0"/>
      <w:r w:rsidR="00A76242">
        <w:rPr>
          <w:rStyle w:val="CommentReference"/>
        </w:rPr>
        <w:commentReference w:id="0"/>
      </w:r>
      <w:r>
        <w:rPr>
          <w:rFonts w:ascii="Arial" w:hAnsi="Arial" w:cs="Arial"/>
          <w:bCs/>
          <w:color w:val="000000"/>
          <w:sz w:val="22"/>
          <w:szCs w:val="22"/>
        </w:rPr>
        <w:t xml:space="preserve">? How do we measure them? What </w:t>
      </w:r>
      <w:r>
        <w:rPr>
          <w:rFonts w:ascii="Arial" w:hAnsi="Arial" w:cs="Arial"/>
          <w:bCs/>
          <w:i/>
          <w:color w:val="000000"/>
          <w:sz w:val="22"/>
          <w:szCs w:val="22"/>
        </w:rPr>
        <w:t>matters</w:t>
      </w:r>
      <w:r>
        <w:rPr>
          <w:rFonts w:ascii="Arial" w:hAnsi="Arial" w:cs="Arial"/>
          <w:bCs/>
          <w:color w:val="000000"/>
          <w:sz w:val="22"/>
          <w:szCs w:val="22"/>
        </w:rPr>
        <w:t xml:space="preserve"> to </w:t>
      </w:r>
      <w:commentRangeStart w:id="1"/>
      <w:r>
        <w:rPr>
          <w:rFonts w:ascii="Arial" w:hAnsi="Arial" w:cs="Arial"/>
          <w:bCs/>
          <w:color w:val="000000"/>
          <w:sz w:val="22"/>
          <w:szCs w:val="22"/>
        </w:rPr>
        <w:t>fitness</w:t>
      </w:r>
      <w:commentRangeEnd w:id="1"/>
      <w:r w:rsidR="009D3818">
        <w:rPr>
          <w:rStyle w:val="CommentReference"/>
        </w:rPr>
        <w:commentReference w:id="1"/>
      </w:r>
    </w:p>
    <w:p w14:paraId="3E2CA5D6" w14:textId="2715DF60" w:rsidR="009D3818" w:rsidRPr="00A76242" w:rsidRDefault="00511137"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A central question in biology is identif</w:t>
      </w:r>
      <w:r w:rsidR="00664CB3">
        <w:rPr>
          <w:rFonts w:ascii="Arial" w:hAnsi="Arial" w:cs="Arial"/>
          <w:bCs/>
          <w:color w:val="000000"/>
          <w:sz w:val="22"/>
          <w:szCs w:val="22"/>
        </w:rPr>
        <w:t xml:space="preserve">ying the genetic and phenotypic basis of organismal fitness in a given </w:t>
      </w:r>
      <w:commentRangeStart w:id="2"/>
      <w:r w:rsidR="00664CB3">
        <w:rPr>
          <w:rFonts w:ascii="Arial" w:hAnsi="Arial" w:cs="Arial"/>
          <w:bCs/>
          <w:color w:val="000000"/>
          <w:sz w:val="22"/>
          <w:szCs w:val="22"/>
        </w:rPr>
        <w:t>environment</w:t>
      </w:r>
      <w:commentRangeEnd w:id="2"/>
      <w:r w:rsidR="00206290">
        <w:rPr>
          <w:rStyle w:val="CommentReference"/>
        </w:rPr>
        <w:commentReference w:id="2"/>
      </w:r>
      <w:r w:rsidR="00664CB3">
        <w:rPr>
          <w:rFonts w:ascii="Arial" w:hAnsi="Arial" w:cs="Arial"/>
          <w:bCs/>
          <w:color w:val="000000"/>
          <w:sz w:val="22"/>
          <w:szCs w:val="22"/>
        </w:rPr>
        <w:t xml:space="preserve">. </w:t>
      </w:r>
      <w:r w:rsidR="00206290">
        <w:rPr>
          <w:rFonts w:ascii="Arial" w:hAnsi="Arial" w:cs="Arial"/>
          <w:bCs/>
          <w:color w:val="000000"/>
          <w:sz w:val="22"/>
          <w:szCs w:val="22"/>
        </w:rPr>
        <w:t xml:space="preserve">… Identifying the phenotypes important for fitness and adaptation </w:t>
      </w:r>
      <w:r w:rsidR="007D48D4">
        <w:rPr>
          <w:rFonts w:ascii="Arial" w:hAnsi="Arial" w:cs="Arial"/>
          <w:bCs/>
          <w:color w:val="000000"/>
          <w:sz w:val="22"/>
          <w:szCs w:val="22"/>
        </w:rPr>
        <w:t xml:space="preserve">is a crucial step in understanding both </w:t>
      </w:r>
      <w:r w:rsidR="00A76242">
        <w:rPr>
          <w:rFonts w:ascii="Arial" w:hAnsi="Arial" w:cs="Arial"/>
          <w:bCs/>
          <w:color w:val="000000"/>
          <w:sz w:val="22"/>
          <w:szCs w:val="22"/>
        </w:rPr>
        <w:t xml:space="preserve">“how organisms work” and the process of adaptation itself. However, identifying the direct links between phenotypes and fitness is a difficult problem. [correlations between traits, correlation between trait and fitness, pleiotropy]. Geiler-Samerotte et al. demonstrate that this is very hard, and that the relationship between measurable traits is complicated by the choices of when, how, and what to measure. Thus, an approach of measuring phenotypes and associating those measurements </w:t>
      </w:r>
      <w:r w:rsidR="00090EC8">
        <w:rPr>
          <w:rFonts w:ascii="Arial" w:hAnsi="Arial" w:cs="Arial"/>
          <w:bCs/>
          <w:color w:val="000000"/>
          <w:sz w:val="22"/>
          <w:szCs w:val="22"/>
        </w:rPr>
        <w:t>to fitness effects is complicated by two primary issues: (1) the choice of which traits to measure and (2) spurious correlations between non-causal traits and fitness. How then can we begin to understand what phenotypic changes are important to fitness and how the relationships between such traits affects evolution (modularity, pleiotropy, etc.).</w:t>
      </w:r>
    </w:p>
    <w:p w14:paraId="7099AA78" w14:textId="1C4EFC58" w:rsidR="00090EC8" w:rsidRDefault="00090EC8" w:rsidP="008F4A97">
      <w:pPr>
        <w:widowControl w:val="0"/>
        <w:autoSpaceDE w:val="0"/>
        <w:autoSpaceDN w:val="0"/>
        <w:adjustRightInd w:val="0"/>
        <w:spacing w:after="240" w:line="288" w:lineRule="auto"/>
        <w:rPr>
          <w:rFonts w:ascii="Arial" w:hAnsi="Arial" w:cs="Arial"/>
          <w:bCs/>
          <w:color w:val="000000"/>
          <w:sz w:val="22"/>
          <w:szCs w:val="22"/>
        </w:rPr>
      </w:pPr>
      <w:commentRangeStart w:id="3"/>
      <w:r>
        <w:rPr>
          <w:rFonts w:ascii="Arial" w:hAnsi="Arial" w:cs="Arial"/>
          <w:bCs/>
          <w:color w:val="000000"/>
          <w:sz w:val="22"/>
          <w:szCs w:val="22"/>
        </w:rPr>
        <w:t xml:space="preserve">One possible </w:t>
      </w:r>
      <w:r w:rsidR="00A76242">
        <w:rPr>
          <w:rFonts w:ascii="Arial" w:hAnsi="Arial" w:cs="Arial"/>
          <w:bCs/>
          <w:color w:val="000000"/>
          <w:sz w:val="22"/>
          <w:szCs w:val="22"/>
        </w:rPr>
        <w:t xml:space="preserve">approach </w:t>
      </w:r>
      <w:commentRangeEnd w:id="3"/>
      <w:r>
        <w:rPr>
          <w:rStyle w:val="CommentReference"/>
        </w:rPr>
        <w:commentReference w:id="3"/>
      </w:r>
      <w:r>
        <w:rPr>
          <w:rFonts w:ascii="Arial" w:hAnsi="Arial" w:cs="Arial"/>
          <w:bCs/>
          <w:color w:val="000000"/>
          <w:sz w:val="22"/>
          <w:szCs w:val="22"/>
        </w:rPr>
        <w:t xml:space="preserve">is to instead approach the problem from the other direction – measure changes in fitness across environments to understand which phenotypes are important to fitness in a given environment. There are clear problems with this approach when measuring fitness across very different environments: the environmental contribution to phenotype is likely to have a larger influence and different phenotypes are likely to have very different contributions in these various environments. Instead, consider subtle environmental changes. In such environments, rather than a complete change in the phenotypes important to fitness, there is instead a subtle shift in the relative importance of the phenotypes that influence </w:t>
      </w:r>
      <w:commentRangeStart w:id="4"/>
      <w:r>
        <w:rPr>
          <w:rFonts w:ascii="Arial" w:hAnsi="Arial" w:cs="Arial"/>
          <w:bCs/>
          <w:color w:val="000000"/>
          <w:sz w:val="22"/>
          <w:szCs w:val="22"/>
        </w:rPr>
        <w:t xml:space="preserve">fitness. </w:t>
      </w:r>
      <w:commentRangeEnd w:id="4"/>
      <w:r>
        <w:rPr>
          <w:rStyle w:val="CommentReference"/>
        </w:rPr>
        <w:commentReference w:id="4"/>
      </w:r>
      <w:bookmarkStart w:id="5" w:name="_GoBack"/>
      <w:bookmarkEnd w:id="5"/>
    </w:p>
    <w:p w14:paraId="5B6D0C15" w14:textId="4AD9EDE9" w:rsidR="00A76242" w:rsidRPr="00A76242" w:rsidRDefault="00090EC8"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Our approach </w:t>
      </w:r>
      <w:r w:rsidR="00A76242">
        <w:rPr>
          <w:rFonts w:ascii="Arial" w:hAnsi="Arial" w:cs="Arial"/>
          <w:bCs/>
          <w:color w:val="000000"/>
          <w:sz w:val="22"/>
          <w:szCs w:val="22"/>
        </w:rPr>
        <w:t xml:space="preserve">develops the notion of </w:t>
      </w:r>
      <w:r w:rsidR="00A76242">
        <w:rPr>
          <w:rFonts w:ascii="Arial" w:hAnsi="Arial" w:cs="Arial"/>
          <w:bCs/>
          <w:i/>
          <w:color w:val="000000"/>
          <w:sz w:val="22"/>
          <w:szCs w:val="22"/>
        </w:rPr>
        <w:t>independent, fitness-relevant phenotypes</w:t>
      </w:r>
      <w:r w:rsidR="00A76242">
        <w:rPr>
          <w:rFonts w:ascii="Arial" w:hAnsi="Arial" w:cs="Arial"/>
          <w:bCs/>
          <w:color w:val="000000"/>
          <w:sz w:val="22"/>
          <w:szCs w:val="22"/>
        </w:rPr>
        <w:t xml:space="preserve">, that are affected by genetic variation and have significant and independent contributions to fitness. These phenotypes are not necessarily measurable traits in the traditional conceptualization of “phenotypes”, rather each fitness-relevant phenotype is likely influenced by complex combinations of measurable (and perhaps currently unmeasurable) features of that organism. </w:t>
      </w:r>
    </w:p>
    <w:p w14:paraId="0C89AA83" w14:textId="3AEC1B2C"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One common framework used to model and understand phenotypic evolution is Fisher’s Geometric model</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r w:rsidR="00F55574">
        <w:rPr>
          <w:rFonts w:ascii="Arial" w:hAnsi="Arial" w:cs="Arial"/>
          <w:color w:val="000000"/>
          <w:sz w:val="22"/>
          <w:szCs w:val="22"/>
        </w:rPr>
        <w:t xml:space="preserve">(see Fig 1A). In this model, traits </w:t>
      </w:r>
      <w:r>
        <w:rPr>
          <w:rFonts w:ascii="Arial" w:hAnsi="Arial" w:cs="Arial"/>
          <w:color w:val="000000"/>
          <w:sz w:val="22"/>
          <w:szCs w:val="22"/>
        </w:rPr>
        <w:t xml:space="preserve">are represented by orthogonal axes in a </w:t>
      </w:r>
      <w:r>
        <w:rPr>
          <w:rFonts w:ascii="Arial" w:hAnsi="Arial" w:cs="Arial"/>
          <w:i/>
          <w:color w:val="000000"/>
          <w:sz w:val="22"/>
          <w:szCs w:val="22"/>
        </w:rPr>
        <w:t>d</w:t>
      </w:r>
      <w:r>
        <w:rPr>
          <w:rFonts w:ascii="Arial" w:hAnsi="Arial" w:cs="Arial"/>
          <w:color w:val="000000"/>
          <w:sz w:val="22"/>
          <w:szCs w:val="22"/>
        </w:rPr>
        <w:t>-dimensional space, with the number of dimensions</w:t>
      </w:r>
      <w:r w:rsidR="00514E6A">
        <w:rPr>
          <w:rFonts w:ascii="Arial" w:hAnsi="Arial" w:cs="Arial"/>
          <w:color w:val="000000"/>
          <w:sz w:val="22"/>
          <w:szCs w:val="22"/>
        </w:rPr>
        <w:t>,</w:t>
      </w:r>
      <w:r>
        <w:rPr>
          <w:rFonts w:ascii="Arial" w:hAnsi="Arial" w:cs="Arial"/>
          <w:color w:val="000000"/>
          <w:sz w:val="22"/>
          <w:szCs w:val="22"/>
        </w:rPr>
        <w:t xml:space="preserve"> </w:t>
      </w:r>
      <w:r>
        <w:rPr>
          <w:rFonts w:ascii="Arial" w:hAnsi="Arial" w:cs="Arial"/>
          <w:i/>
          <w:color w:val="000000"/>
          <w:sz w:val="22"/>
          <w:szCs w:val="22"/>
        </w:rPr>
        <w:t>d</w:t>
      </w:r>
      <w:r w:rsidR="00514E6A">
        <w:rPr>
          <w:rFonts w:ascii="Arial" w:hAnsi="Arial" w:cs="Arial"/>
          <w:i/>
          <w:color w:val="000000"/>
          <w:sz w:val="22"/>
          <w:szCs w:val="22"/>
        </w:rPr>
        <w:t>,</w:t>
      </w:r>
      <w:r>
        <w:rPr>
          <w:rFonts w:ascii="Arial" w:hAnsi="Arial" w:cs="Arial"/>
          <w:color w:val="000000"/>
          <w:sz w:val="22"/>
          <w:szCs w:val="22"/>
        </w:rPr>
        <w:t xml:space="preserve"> indicating the number of </w:t>
      </w:r>
      <w:r w:rsidR="007E763A">
        <w:rPr>
          <w:rFonts w:ascii="Arial" w:hAnsi="Arial" w:cs="Arial"/>
          <w:color w:val="000000"/>
          <w:sz w:val="22"/>
          <w:szCs w:val="22"/>
        </w:rPr>
        <w:t>traits</w:t>
      </w:r>
      <w:r>
        <w:rPr>
          <w:rFonts w:ascii="Arial" w:hAnsi="Arial" w:cs="Arial"/>
          <w:color w:val="000000"/>
          <w:sz w:val="22"/>
          <w:szCs w:val="22"/>
        </w:rPr>
        <w:t xml:space="preserve"> that have independent contribution to fitness. Organisms are represented by points in this space, with their position determined by</w:t>
      </w:r>
      <w:r w:rsidR="00514E6A">
        <w:rPr>
          <w:rFonts w:ascii="Arial" w:hAnsi="Arial" w:cs="Arial"/>
          <w:color w:val="000000"/>
          <w:sz w:val="22"/>
          <w:szCs w:val="22"/>
        </w:rPr>
        <w:t xml:space="preserve"> their phenotype,</w:t>
      </w:r>
      <w:r>
        <w:rPr>
          <w:rFonts w:ascii="Arial" w:hAnsi="Arial" w:cs="Arial"/>
          <w:color w:val="000000"/>
          <w:sz w:val="22"/>
          <w:szCs w:val="22"/>
        </w:rPr>
        <w:t xml:space="preserve"> </w:t>
      </w:r>
      <w:r w:rsidR="00514E6A">
        <w:rPr>
          <w:rFonts w:ascii="Arial" w:hAnsi="Arial" w:cs="Arial"/>
          <w:color w:val="000000"/>
          <w:sz w:val="22"/>
          <w:szCs w:val="22"/>
        </w:rPr>
        <w:t xml:space="preserve">the organism’s particular </w:t>
      </w:r>
      <w:r>
        <w:rPr>
          <w:rFonts w:ascii="Arial" w:hAnsi="Arial" w:cs="Arial"/>
          <w:color w:val="000000"/>
          <w:sz w:val="22"/>
          <w:szCs w:val="22"/>
        </w:rPr>
        <w:t xml:space="preserve">combination of trait values. The fitness of an organism in a particular environment is determined by a function of the organism’s position and the position of the optimum combination of traits in that particular environment (hereafter “the optimum”). Any such function can be considered, but </w:t>
      </w:r>
      <w:r>
        <w:rPr>
          <w:rFonts w:ascii="Arial" w:hAnsi="Arial" w:cs="Arial"/>
          <w:color w:val="000000"/>
          <w:sz w:val="22"/>
          <w:szCs w:val="22"/>
        </w:rPr>
        <w:lastRenderedPageBreak/>
        <w:t xml:space="preserve">typically a simple Gaussian function is assumed for mathematical convenience, and has some empirically-supported properties, including diminishing-returns epistasis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"Visser", "given" : "J A G M", "non-dropping-particle" : "de", "parse-names" : false, "suffix" : "" }, { "dropping-particle" : "", "family" : "Zeyl", "given" : "C W", "non-dropping-particle" : "", "parse-names" : false, "suffix" : "" }, { "dropping-particle" : "", "family" : "Gerrish", "given" : "Phillip J", "non-dropping-particle" : "", "parse-names" : false, "suffix" : "" }, { "dropping-particle" : "", "family" : "Blanchard", "given" : "J L", "non-dropping-particle" : "", "parse-names" : false, "suffix" : "" }, { "dropping-particle" : "", "family" : "Lenski", "given" : "R E", "non-dropping-particle" : "", "parse-names" : false, "suffix" : "" } ], "container-title" : "Science", "id" : "ITEM-1", "issue" : "January", "issued" : { "date-parts" : [ [ "1999" ] ] }, "page" : "404-407", "title" : "Diminishing returns from mutation rate supply in asexual populations", "type" : "article-journal", "volume" : "283" }, "uris" : [ "http://www.mendeley.com/documents/?uuid=80290c95-1a55-445b-90fa-fc2de1699ad7" ] }, { "id" : "ITEM-2", "itemData" : { "DOI" : "10.1126/science.1203799", "ISSN" : "0036-8075", "PMID" : "21636771", "abstract" : "Epistasis has substantial impacts on evolution, in particular, the rate of adaptation. We generated combinations of beneficial mutations that arose in a lineage during rapid adaptation of a bacterium whose growth depended on a newly introduced metabolic pathway. The proportional selective benefit for three of the four loci consistently decreased when they were introduced onto more fit backgrounds. These three alleles all reduced morphological defects caused by expression of the foreign pathway. A simple theoretical model segregating the apparent contribution of individual alleles to benefits and costs effectively predicted the interactions between them. These results provide the first evidence that patterns of epistasis may differ for within- and between-gene interactions during adaptation and that diminishing returns epistasis contributes to the consistent observation of decelerating fitness gains during adaptation.", "author" : [ { "dropping-particle" : "", "family" : "Chou", "given" : "H.-H.", "non-dropping-particle" : "", "parse-names" : false, "suffix" : "" }, { "dropping-particle" : "", "family" : "Chiu", "given" : "H.-C.", "non-dropping-particle" : "", "parse-names" : false, "suffix" : "" }, { "dropping-particle" : "", "family" : "Delaney", "given" : "N. F.", "non-dropping-particle" : "", "parse-names" : false, "suffix" : "" }, { "dropping-particle" : "", "family" : "Segre", "given" : "D.", "non-dropping-particle" : "", "parse-names" : false, "suffix" : "" }, { "dropping-particle" : "", "family" : "Marx", "given" : "C. J.", "non-dropping-particle" : "", "parse-names" : false, "suffix" : "" }, { "dropping-particle" : "", "family" : "Long", "given" : "Anthony D.", "non-dropping-particle" : "", "parse-names" : false, "suffix" : "" }, { "dropping-particle" : "", "family" : "Gaut", "given" : "Brandon S.", "non-dropping-particle" : "", "parse-names" : false, "suffix" : "" } ], "container-title" : "Science", "id" : "ITEM-2", "issue" : "6034", "issued" : { "date-parts" : [ [ "2011" ] ] }, "page" : "1190-1192", "title" : "Diminishing Returns Epistasis Among Beneficial Mutations Decelerates Adaptation", "type" : "article-journal", "volume" : "332" }, "uris" : [ "http://www.mendeley.com/documents/?uuid=c4e68b54-f3c1-4ffa-a301-5eccc4c3d6b1" ] } ], "mendeley" : { "formattedCitation" : "(de Visser et al. 1999; Chou et al. 2011)", "plainTextFormattedCitation" : "(de Visser et al. 1999; Chou et al. 2011)", "previouslyFormattedCitation" : "(de Visser et al. 1999; Chou et al. 2011)"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(de Visser et al. 1999; Chou et al. 2011)</w:t>
      </w:r>
      <w:r>
        <w:rPr>
          <w:rFonts w:ascii="Arial" w:hAnsi="Arial" w:cs="Arial"/>
          <w:color w:val="000000"/>
          <w:sz w:val="22"/>
          <w:szCs w:val="22"/>
        </w:rPr>
        <w:fldChar w:fldCharType="end"/>
      </w:r>
      <w:r>
        <w:rPr>
          <w:rFonts w:ascii="Arial" w:hAnsi="Arial" w:cs="Arial"/>
          <w:color w:val="000000"/>
          <w:sz w:val="22"/>
          <w:szCs w:val="22"/>
        </w:rPr>
        <w:t xml:space="preserve"> (but see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 xml:space="preserve">). Thus, evolution can be seen as proceeding through “adaptive walks” from an ancestral organism that occupies some location in phenotype space. Genetic mutations can cause phenotypic changes, moving the mutant to a new location in this space. If this new location is favored by the fitness function, then it may increase in frequency and give rise to additional mutations. </w:t>
      </w:r>
    </w:p>
    <w:p w14:paraId="185F247B" w14:textId="62902DCD"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Using this general framework, estimatin</w:t>
      </w:r>
      <w:r w:rsidR="00E53292">
        <w:rPr>
          <w:rFonts w:ascii="Arial" w:hAnsi="Arial" w:cs="Arial"/>
          <w:color w:val="000000"/>
          <w:sz w:val="22"/>
          <w:szCs w:val="22"/>
        </w:rPr>
        <w:t>g the number of independent traits</w:t>
      </w:r>
      <w:r>
        <w:rPr>
          <w:rFonts w:ascii="Arial" w:hAnsi="Arial" w:cs="Arial"/>
          <w:color w:val="000000"/>
          <w:sz w:val="22"/>
          <w:szCs w:val="22"/>
        </w:rPr>
        <w:t xml:space="preserve"> needed to explain the behavior </w:t>
      </w:r>
      <w:r w:rsidR="00944390">
        <w:rPr>
          <w:rFonts w:ascii="Arial" w:hAnsi="Arial" w:cs="Arial"/>
          <w:color w:val="000000"/>
          <w:sz w:val="22"/>
          <w:szCs w:val="22"/>
        </w:rPr>
        <w:t xml:space="preserve">of </w:t>
      </w:r>
      <w:r>
        <w:rPr>
          <w:rFonts w:ascii="Arial" w:hAnsi="Arial" w:cs="Arial"/>
          <w:color w:val="000000"/>
          <w:sz w:val="22"/>
          <w:szCs w:val="22"/>
        </w:rPr>
        <w:t>adaptive mutants is equivalent for estimating the number of dimensions in Fisher’s model. Previous work has aimed to measure the dimensionality of this space for mutations in general (and more specifically deleterious mutations), rather than the dimensionality of adaptation. These studies primarily fall into three categories. One class of methods derives the dimensionality of the space from the distribution of fitness effects</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(Fig 1B). Assuming the ancestor is at the optimum, a Gaussian mutation distribution in phenotype space, and a multivariate Gaussian distribution for the fitness function, Martin and Lenormand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derive the expected distribution of fitness effects (DFE) taking the form of a gamma distribution. One can then derive the effective dimensionality of the system utilizing the moments of the DFE. Using directed mutation and mutation-accumulation techniques, these methods find that phenotypic dimensionality is relatively low (less than three dimensions) for the model organisms considered. </w:t>
      </w:r>
    </w:p>
    <w:p w14:paraId="150741B4" w14:textId="777777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 second class of methods uses drift load</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"10.1554/0014-3820(2000)054[1467:CFOLOM]2.0.CO;2", "ISBN" : "0014-3820 (Print)\\r0014-3820 (Linking)", "ISSN" : "0014-3820", "PMID" : "11108576", "abstract" : "We have investigated the reduction of fitness caused by the fixation of new deleterious mutations in small populations within the framework of Fisher's geometrical model of adaptation. In Fisher's model, a population evolves in an n-dimensional character space with an adaptive optimum at the origin. The model allows us to investigate compensatory mutations, which restore fitness losses incurred by other mutations, in a context-dependent manner. We have conducted a moment analysis of the model, supplemented by the numerical results of computer simulations. The mean reduction of fitness (i.e., expected load) scaled to one is approximately n/(n+2Ne), where Ne is the effective population size. The reciprocal relationship between the load and Ne implies that the fixation of deleterious mutations is unlikely to cause extinction when there is a broad scope for compensatory mutations, except in very small populations. Furthermore, the dependence of load on n implies that pleiotropy plays a large role in determining the extinction risk of small populations. Differences and similarities between our results and those of a previous study on the effects of Ne and n are explored. That the predictions of this model are qualitatively different from studies ignoring compensatory mutations implies that we must be cautious in predicting the evolutionary fate of small populations and that additional data on the nature of mutations is of critical importance.", "author" : [ { "dropping-particle" : "", "family" : "Poon", "given" : "Art", "non-dropping-particle" : "", "parse-names" : false, "suffix" : "" }, { "dropping-particle" : "", "family" : "Otto", "given" : "Sarah P", "non-dropping-particle" : "", "parse-names" : false, "suffix" : "" } ], "container-title" : "Evolution", "id" : "ITEM-1", "issue" : "5", "issued" : { "date-parts" : [ [ "2000" ] ] }, "page" : "1467-1479", "title" : "Compensating for our load of mutations: freezing the meltdown of small populations.", "type" : "article-journal", "volume" : "54" }, "uris" : [ "http://www.mendeley.com/documents/?uuid=0e69a115-3a0e-46a5-a9af-60ea595ce780" ] }, { "id" : "ITEM-2", "itemData" : { "DOI" : "10.1371/journal.pone.0000217", "ISBN" : "1932-6203 (Electronic)\\n1932-6203 (Linking)", "ISSN" : "19326203", "PMID" : "17299597", "abstract" : "BACKGROUND: Various definitions of biological complexity have been proposed: the number of genes, cell types, or metabolic processes within an organism. As knowledge of biological systems has increased, it has become apparent that these metrics are often incongruent.\\n\\nMETHODOLOGY: Here we propose an alternative complexity metric based on the number of genetically uncorrelated phenotypic traits contributing to an organism's fitness. This metric, phenotypic complexity, is more objective than previous suggestions, as complexity is measured from a fundamental biological perspective, that of natural selection. We utilize a model linking the equilibrium fitness (drift load) of a population to phenotypic complexity. We then use results from viral evolution experiments to compare the phenotypic complexities of two viruses, the bacteriophage X174 and vesicular stomatitis virus, and to illustrate the consistency of our approach and its applicability.\\n\\nCONCLUSIONS/SIGNIFICANCE: Because Darwinian evolution through natural selection is the fundamental element unifying all biological organisms, we propose that our metric of complexity is potentially a more relevant metric than others, based on the count of artificially defined set of objects.", "author" : [ { "dropping-particle" : "", "family" : "Tenaillon", "given" : "Olivier", "non-dropping-particle" : "", "parse-names" : false, "suffix" : "" }, { "dropping-particle" : "", "family" : "Silander", "given" : "Olin K.", "non-dropping-particle" : "", "parse-names" : false, "suffix" : "" }, { "dropping-particle" : "", "family" : "Uzan", "given" : "Jean Philippe", "non-dropping-particle" : "", "parse-names" : false, "suffix" : "" }, { "dropping-particle" : "", "family" : "Chao", "given" : "Lin", "non-dropping-particle" : "", "parse-names" : false, "suffix" : "" } ], "container-title" : "PLoS ONE", "id" : "ITEM-2", "issue" : "2", "issued" : { "date-parts" : [ [ "2007" ] ] }, "note" : "Try to quantify number of traits using drift load.", "title" : "Quantifying organismal complexity using a population genetic approach", "type" : "article-journal", "volume" : "2" }, "uris" : [ "http://www.mendeley.com/documents/?uuid=da47fe0b-0a4e-4786-a82d-8f4c17773f8a" ] } ], "mendeley" : { "formattedCitation" : "(Poon &amp; Otto 2000; Tenaillon et al. 2007)", "plainTextFormattedCitation" : "(Poon &amp; Otto 2000; Tenaillon et al. 2007)", "previouslyFormattedCitation" : "(Poon &amp; Otto 2000; Tenaillon et al. 2007)"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(Poon &amp; Otto 2000; Tenaillon et al. 2007)</w:t>
      </w:r>
      <w:r>
        <w:rPr>
          <w:rFonts w:ascii="Arial" w:hAnsi="Arial" w:cs="Arial"/>
          <w:color w:val="000000"/>
          <w:sz w:val="22"/>
          <w:szCs w:val="22"/>
        </w:rPr>
        <w:fldChar w:fldCharType="end"/>
      </w:r>
      <w:r>
        <w:rPr>
          <w:rFonts w:ascii="Arial" w:hAnsi="Arial" w:cs="Arial"/>
          <w:color w:val="000000"/>
          <w:sz w:val="22"/>
          <w:szCs w:val="22"/>
        </w:rPr>
        <w:t xml:space="preserve">. These also assume that populations are relatively close to the optimum, but instead explicitly use distance from an optimum as a metric to quantify the phenotypic dimensionality. Intuitively, this is accomplished by observing that large populations are able to effectively purge most deleterious mutations. However, small populations are unable to remove mildly deleterious mutations that drift to fixation, thus carrying a “drift load”. Moreover, the number of such deleterious mutations available to a population can be worked out as a function of the number of phenotypic dimensions, assuming some mutation distribution. Combining these relationships, this class of methods can then observe the fitness of populations across a gradient of effective population sizes to estimate the effective number of phenotypic dimensions. From this set of measurements, researchers found that there were relatively many dimensions (more than five) for the organisms observed. </w:t>
      </w:r>
    </w:p>
    <w:p w14:paraId="527040A6" w14:textId="3449E203" w:rsidR="000231B9" w:rsidRDefault="009B3EC5"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Attempting to reconcile the</w:t>
      </w:r>
      <w:r w:rsidR="000231B9">
        <w:rPr>
          <w:rFonts w:ascii="Arial" w:hAnsi="Arial" w:cs="Arial"/>
          <w:color w:val="000000"/>
          <w:sz w:val="22"/>
          <w:szCs w:val="22"/>
        </w:rPr>
        <w:t xml:space="preserve"> different measures of phenotypic dimensionally observed by the two classes of methods, Lourenco</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(Lourenço et al. 2011)</w:t>
      </w:r>
      <w:r w:rsidR="000231B9">
        <w:rPr>
          <w:rFonts w:ascii="Arial" w:hAnsi="Arial" w:cs="Arial"/>
          <w:color w:val="000000"/>
          <w:sz w:val="22"/>
          <w:szCs w:val="22"/>
        </w:rPr>
        <w:fldChar w:fldCharType="end"/>
      </w:r>
      <w:r w:rsidR="000231B9">
        <w:rPr>
          <w:rFonts w:ascii="Arial" w:hAnsi="Arial" w:cs="Arial"/>
          <w:color w:val="000000"/>
          <w:sz w:val="22"/>
          <w:szCs w:val="22"/>
        </w:rPr>
        <w:t xml:space="preserve"> conducted analysis that suggests that DFE approaches are downwardly biased by universal pleiotropy assumptions, and that methods using drift load are relatively insensitive to the pleiotropy of mutations. Lourenco proposes a model of “partial pleiotropy” to explain the observed differences, suggesting that</w:t>
      </w:r>
      <w:r w:rsidR="00E53292">
        <w:rPr>
          <w:rFonts w:ascii="Arial" w:hAnsi="Arial" w:cs="Arial"/>
          <w:color w:val="000000"/>
          <w:sz w:val="22"/>
          <w:szCs w:val="22"/>
        </w:rPr>
        <w:t xml:space="preserve"> single </w:t>
      </w:r>
      <w:r w:rsidR="000231B9">
        <w:rPr>
          <w:rFonts w:ascii="Arial" w:hAnsi="Arial" w:cs="Arial"/>
          <w:color w:val="000000"/>
          <w:sz w:val="22"/>
          <w:szCs w:val="22"/>
        </w:rPr>
        <w:t>mutations only affect a small subset of</w:t>
      </w:r>
      <w:r w:rsidR="00E53292">
        <w:rPr>
          <w:rFonts w:ascii="Arial" w:hAnsi="Arial" w:cs="Arial"/>
          <w:color w:val="000000"/>
          <w:sz w:val="22"/>
          <w:szCs w:val="22"/>
        </w:rPr>
        <w:t xml:space="preserve"> traits</w:t>
      </w:r>
      <w:r w:rsidR="000231B9">
        <w:rPr>
          <w:rFonts w:ascii="Arial" w:hAnsi="Arial" w:cs="Arial"/>
          <w:color w:val="000000"/>
          <w:sz w:val="22"/>
          <w:szCs w:val="22"/>
        </w:rPr>
        <w:t xml:space="preserve">, but that mutations altogether affect many traits. </w:t>
      </w:r>
    </w:p>
    <w:p w14:paraId="376D0B3A" w14:textId="457A3438"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third class of methods utilizes datasets generated to study epistasis (Fig 1C). Assuming a </w:t>
      </w:r>
      <w:r>
        <w:rPr>
          <w:rFonts w:ascii="Arial" w:hAnsi="Arial" w:cs="Arial"/>
          <w:color w:val="000000"/>
          <w:sz w:val="22"/>
          <w:szCs w:val="22"/>
        </w:rPr>
        <w:lastRenderedPageBreak/>
        <w:t xml:space="preserve">Gaussian mutation distribution around the ancestor and additive effects of mutations in phenotype space, epistasis is expected to be reflected in the nonlinearity of the phenotype to fitness map. Previous studies have used the distribution of angles between pairs of mutations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"10.1111/evo.12156", "ISBN" : "00143820", "ISSN" : "00143820", "PMID" : "24094346", "abstract" : "The functional synthesis uses experimental methods from molecular biology, biochemistry and structural biology to decompose evolutionarily important mutations into their more proximal mechanistic determinants. However these methods are technically challenging and expensive. Noting strong formal parallels between R.A. Fisher's geometric model of adaptation and a recent model for the phenotypic basis of protein evolution, we sought to use the former to make inferences into the latter using data on pairwise fitness epistasis between mutations. We present an analytic framework for classifying pairs of mutations with respect to similarity of underlying mechanism on this basis, and also show that these data can yield an estimate of the number of mutationally labile phenotypes underlying fitness effects. We use computer simulations to explore the robustness of our approach to violations of analytic assumptions and analyze several recently published datasets. This work provides a theoretical complement to the functional synthesis as well as a novel test of Fisher's geometric model.", "author" : [ { "dropping-particle" : "", "family" : "Weinreich", "given" : "Daniel M.", "non-dropping-particle" : "", "parse-names" : false, "suffix" : "" }, { "dropping-particle" : "", "family" : "Knies", "given" : "Jennifer L.", "non-dropping-particle" : "", "parse-names" : false, "suffix" : "" } ], "container-title" : "Evolution", "id" : "ITEM-1", "issue" : "10", "issued" : { "date-parts" : [ [ "2013" ] ] }, "page" : "2957-2972", "title" : "Fisher's Geometric Model Of Adaptation Meets The Functional Synthesis: Data On Pairwise Epistasis For Fitness Yields Insights Into The Shape And Size Of Phenotype Space", "type" : "article-journal", "volume" : "67" }, "uris" : [ "http://www.mendeley.com/documents/?uuid=c52b615b-9f5f-4e8c-92f7-1f59d2710d11" ] } ], "mendeley" : { "formattedCitation" : "(Weinreich &amp; Knies 2013)", "plainTextFormattedCitation" : "(Weinreich &amp; Knies 2013)", "previouslyFormattedCitation" : "(Weinreich &amp; Knies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(Weinreich &amp; Knies 2013)</w:t>
      </w:r>
      <w:r>
        <w:rPr>
          <w:rFonts w:ascii="Arial" w:hAnsi="Arial" w:cs="Arial"/>
          <w:color w:val="000000"/>
          <w:sz w:val="22"/>
          <w:szCs w:val="22"/>
        </w:rPr>
        <w:fldChar w:fldCharType="end"/>
      </w:r>
      <w:r>
        <w:rPr>
          <w:rFonts w:ascii="Arial" w:hAnsi="Arial" w:cs="Arial"/>
          <w:color w:val="000000"/>
          <w:sz w:val="22"/>
          <w:szCs w:val="22"/>
        </w:rPr>
        <w:t xml:space="preserve"> and approximate Bayesian computation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"10.1534/genetics.115.182691", "ISBN" : "0016-6731", "ISSN" : "19432631", "PMID" : "27052568", "abstract" : "The fitness landscape defines the relationship between genotypes and fitness in a given environment and underlies fundamental quantities such as the distribution of selection coefficient and the magnitude and type of epistasis. A better understanding of variation in landscape structure across species and environments is thus necessary to understand and predict how populations will adapt. An increasing number of experiments investigate the properties of fitness landscapes by identifying mutations, constructing genotypes with combinations of these mutations, and measuring the fitness of these genotypes. Yet these empirical landscapes represent a very small sample of the vast space of all possible genotypes, and this sample is often biased by the protocol used to identify mutations. Here we develop a rigorous statistical framework based on Approximate Bayesian Computation to address these concerns and use this flexible framework to fit a broad class of phenotypic fitness models (including Fisher's model) to 26 empirical landscapes representing nine diverse biological systems. Despite uncertainty owing to the small size of most published empirical landscapes, the inferred landscapes have similar structure in similar biological systems. Surprisingly, goodness-of-fit tests reveal that this class of phenotypic models, which has been successful so far in interpreting experimental data, is a plausible in only three of nine biological systems. More precisely, although Fisher's model was able to explain several statistical properties of the landscapes-including the mean and SD of selection and epistasis coefficients-it was often unable to explain the full structure of fitness landscapes.", "author" : [ { "dropping-particle" : "", "family" : "Blanquart", "given" : "Fran\u00e7ois", "non-dropping-particle" : "", "parse-names" : false, "suffix" : "" }, { "dropping-particle" : "", "family" : "Bataillon", "given" : "Thomas", "non-dropping-particle" : "", "parse-names" : false, "suffix" : "" } ], "container-title" : "Genetics", "id" : "ITEM-1", "issue" : "2", "issued" : { "date-parts" : [ [ "2016" ] ] }, "page" : "847-862", "title" : "Epistasis and the structure of fitness landscapes: Are experimental fitness landscapes compatible with fisher\u2019s geometric model?", "type" : "article-journal", "volume" : "203" }, "uris" : [ "http://www.mendeley.com/documents/?uuid=eedc85ca-fe49-4fbf-a7e3-98ba25fe989b" ] } ], "mendeley" : { "formattedCitation" : "(Blanquart &amp; Bataillon 2016)", "plainTextFormattedCitation" : "(Blanquart &amp; Bataillon 2016)", "previouslyFormattedCitation" : "(Blanquart &amp; Bataillon 2016)"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(Blanquart &amp; Bataillon 2016)</w:t>
      </w:r>
      <w:r>
        <w:rPr>
          <w:rFonts w:ascii="Arial" w:hAnsi="Arial" w:cs="Arial"/>
          <w:color w:val="000000"/>
          <w:sz w:val="22"/>
          <w:szCs w:val="22"/>
        </w:rPr>
        <w:fldChar w:fldCharType="end"/>
      </w:r>
      <w:r>
        <w:rPr>
          <w:rFonts w:ascii="Arial" w:hAnsi="Arial" w:cs="Arial"/>
          <w:color w:val="000000"/>
          <w:sz w:val="22"/>
          <w:szCs w:val="22"/>
        </w:rPr>
        <w:t xml:space="preserve"> on epistasis datasets to underst</w:t>
      </w:r>
      <w:r w:rsidR="000B751A">
        <w:rPr>
          <w:rFonts w:ascii="Arial" w:hAnsi="Arial" w:cs="Arial"/>
          <w:color w:val="000000"/>
          <w:sz w:val="22"/>
          <w:szCs w:val="22"/>
        </w:rPr>
        <w:t>and phenotypic dimensionality.</w:t>
      </w:r>
      <w:commentRangeStart w:id="6"/>
      <w:r w:rsidR="000B751A">
        <w:rPr>
          <w:rFonts w:ascii="Arial" w:hAnsi="Arial" w:cs="Arial"/>
          <w:color w:val="000000"/>
          <w:sz w:val="22"/>
          <w:szCs w:val="22"/>
        </w:rPr>
        <w:t xml:space="preserve"> </w:t>
      </w:r>
      <w:r>
        <w:rPr>
          <w:rFonts w:ascii="Arial" w:hAnsi="Arial" w:cs="Arial"/>
          <w:color w:val="000000"/>
          <w:sz w:val="22"/>
          <w:szCs w:val="22"/>
        </w:rPr>
        <w:t xml:space="preserve"> </w:t>
      </w:r>
      <w:commentRangeEnd w:id="6"/>
      <w:r w:rsidR="000B751A">
        <w:rPr>
          <w:rStyle w:val="CommentReference"/>
        </w:rPr>
        <w:commentReference w:id="6"/>
      </w:r>
    </w:p>
    <w:p w14:paraId="6D5491A0" w14:textId="777777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These approaches require the use of strict mathematical assumptions to derive tractable mathematical expressions and predictions. Most (if not all) of these assumptions are likely to be violated. It is unlikely that the ancestor is optimally fit, since adaptation is constantly proceeding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 Moreover, assuming additivity of mutants in phenotype is likely to be wrong. This is particularly clear in the extreme example of pairs of loss of function mutations in the same pathway. Finally, a local Gaussian distribution for mutations in phenotypic space is also unlikely loss of function mutations can drastically change the expression of proteins and thus move a cell’s phenotype very far from the initial set of phenotypes. Additionally, there have been calls for the use of partial pleiotropy in these models to reconcile conflicting conclusions by some of these studies</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"id" : "ITEM-2", "itemData" : { "DOI" : "10.1111/nyas.12460", "ISBN" : "1749-6632", "ISSN" : "17496632", "PMID" : "24891070", "abstract" : "The rates and properties of new mutations affecting fitness have implications for a number of outstanding questions in evolutionary biology. Obtaining estimates of mutation rates and effects has historically been challenging, and little theory has been available for predicting the distribution of fitness effects (DFE); however, there have been recent advances on both fronts. Extreme-value theory predicts the DFE of beneficial mutations in well-adapted populations, while phenotypic fitness landscape models make predictions for the DFE of all mutations as a function of the initial level of adaptation and the strength of stabilizing selection on traits underlying fitness. Direct experimental evidence confirms predictions on the DFE of beneficial mutations and favors distributions that are roughly exponential but bounded on the right. A growing number of studies infer the DFE using genomic patterns of polymorphism and divergence, recovering a wide range of DFE. Future work should be aimed at identifying factors driving the observed variation in the DFE. We emphasize the need for further theory explicitly incorporating the effects of partial pleiotropy and heterogeneity in the environment on the expected DFE.", "author" : [ { "dropping-particle" : "", "family" : "Bataillon", "given" : "Thomas", "non-dropping-particle" : "", "parse-names" : false, "suffix" : "" }, { "dropping-particle" : "", "family" : "Bailey", "given" : "Susan F.", "non-dropping-particle" : "", "parse-names" : false, "suffix" : "" } ], "container-title" : "Annals of the New York Academy of Sciences", "id" : "ITEM-2", "issue" : "1", "issued" : { "date-parts" : [ [ "2014" ] ] }, "page" : "76-92", "title" : "Effects of new mutations on fitness: Insights from models and data", "type" : "article-journal", "volume" : "1320" }, "uris" : [ "http://www.mendeley.com/documents/?uuid=6a1c0b9a-c87b-4972-af25-27613ad12c53" ] } ], "mendeley" : { "formattedCitation" : "(Louren\u00e7o et al. 2011; Bataillon &amp; Bailey 2014)", "plainTextFormattedCitation" : "(Louren\u00e7o et al. 2011; Bataillon &amp; Bailey 2014)", "previouslyFormattedCitation" : "(Louren\u00e7o et al. 2011; Bataillon &amp; Bailey 2014)"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(Lourenço et al. 2011; Bataillon &amp; Bailey 2014)</w:t>
      </w:r>
      <w:r>
        <w:rPr>
          <w:rFonts w:ascii="Arial" w:hAnsi="Arial" w:cs="Arial"/>
          <w:color w:val="000000"/>
          <w:sz w:val="22"/>
          <w:szCs w:val="22"/>
        </w:rPr>
        <w:fldChar w:fldCharType="end"/>
      </w:r>
      <w:r>
        <w:rPr>
          <w:rFonts w:ascii="Arial" w:hAnsi="Arial" w:cs="Arial"/>
          <w:color w:val="000000"/>
          <w:sz w:val="22"/>
          <w:szCs w:val="22"/>
        </w:rPr>
        <w:t xml:space="preserve">. </w:t>
      </w:r>
    </w:p>
    <w:p w14:paraId="45880F94" w14:textId="2EF64664" w:rsidR="000231B9" w:rsidRPr="00A41AC8" w:rsidRDefault="000231B9" w:rsidP="00A41AC8">
      <w:pPr>
        <w:widowControl w:val="0"/>
        <w:autoSpaceDE w:val="0"/>
        <w:autoSpaceDN w:val="0"/>
        <w:adjustRightInd w:val="0"/>
        <w:spacing w:after="240" w:line="288" w:lineRule="auto"/>
        <w:rPr>
          <w:rFonts w:ascii="Arial" w:hAnsi="Arial" w:cs="Arial"/>
          <w:color w:val="000000"/>
          <w:sz w:val="22"/>
          <w:szCs w:val="22"/>
        </w:rPr>
      </w:pPr>
      <w:commentRangeStart w:id="7"/>
      <w:r>
        <w:rPr>
          <w:rFonts w:ascii="Arial" w:hAnsi="Arial" w:cs="Arial"/>
          <w:color w:val="000000"/>
          <w:sz w:val="22"/>
          <w:szCs w:val="22"/>
        </w:rPr>
        <w:t xml:space="preserve">Recent technological advances allow us to measure the fitness of many mutants with high precision in a high-throughput manner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"ITEM-1", "issued" : { "date-parts" : [ [ "2015" ] ] }, "page" : "1-78", "title" : "Quantitative evolutionary dynamics using high-resolution lineage tracking", "type" : "article-journal", "volume" : "advance on" }, "uris" : [ "http://www.mendeley.com/documents/?uuid=99b1e067-8000-4728-8b65-93095a5de81a" ] } ], "mendeley" : { "formattedCitation" : "(Levy et al. 2015)", "plainTextFormattedCitation" : "(Levy et al. 2015)", "previouslyFormattedCitation" : "(Levy et al. 2015)"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(Levy et al. 2015)</w:t>
      </w:r>
      <w:r>
        <w:rPr>
          <w:rFonts w:ascii="Arial" w:hAnsi="Arial" w:cs="Arial"/>
          <w:color w:val="000000"/>
          <w:sz w:val="22"/>
          <w:szCs w:val="22"/>
        </w:rPr>
        <w:fldChar w:fldCharType="end"/>
      </w:r>
      <w:r>
        <w:rPr>
          <w:rFonts w:ascii="Arial" w:hAnsi="Arial" w:cs="Arial"/>
          <w:color w:val="000000"/>
          <w:sz w:val="22"/>
          <w:szCs w:val="22"/>
        </w:rPr>
        <w:t xml:space="preserve"> and take an approach that removes the necessity for some of these assumptions. In particular, this allows for fitness measurements of a large collection of mutants in a range of conditions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"10.1016/j.cell.2016.08.002", "ISBN" : "0092-8674", "ISSN" : "10974172", "PMID" : "27594428", "abstract" : "Adaptive evolution plays a large role in generating the phenotypic diversity observed in nature, yet current methods are impractical for characterizing the molecular basis and fitness effects of large numbers of individual adaptive mutations. Here, we used a DNA barcoding approach to generate the genotype-to-fitness map for adaptation-driving mutations from a Saccharomyces cerevisiae population experimentally evolved by serial transfer under limiting glucose. We isolated and measured the fitness of thousands of independent adaptive clones and sequenced the genomes of hundreds of clones. We found only two major classes of adaptive mutations: self-diploidization and mutations in the nutrient-responsive Ras/PKA and TOR/Sch9 pathways. Our large sample size and precision of measurement allowed us to determine that there are significant differences in fitness between mutations in different genes, between different paralogs, and even between different classes of mutations within the same gene.", "author" : [ { "dropping-particle" : "", "family" : "Venkataram", "given" : "Sandeep", "non-dropping-particle" : "", "parse-names" : false, "suffix" : "" }, { "dropping-particle" : "", "family" : "Dunn", "given" : "Barbara", "non-dropping-particle" : "", "parse-names" : false, "suffix" : "" }, { "dropping-particle" : "", "family" : "Li", "given" : "Yuping", "non-dropping-particle" : "", "parse-names" : false, "suffix" : "" }, { "dropping-particle" : "", "family" : "Agarwala", "given" : "Atish", "non-dropping-particle" : "", "parse-names" : false, "suffix" : "" }, { "dropping-particle" : "", "family" : "Chang", "given" : "Jessica", "non-dropping-particle" : "", "parse-names" : false, "suffix" : "" }, { "dropping-particle" : "", "family" : "Ebel", "given" : "Emily R", "non-dropping-particle" : "", "parse-names" : false, "suffix" : "" }, { "dropping-particle" : "", "family" : "Geiler-Samerotte", "given" : "Kerry", "non-dropping-particle" : "", "parse-names" : false, "suffix" : "" }, { "dropping-particle" : "", "family" : "Herissant", "given" : "Lucas", "non-dropping-particle" : "", "parse-names" : false, "suffix" : "" }, { "dropping-particle" : "", "family" : "Blundell", "given" : "Jamie R", "non-dropping-particle" : "", "parse-names" : false, "suffix" : "" }, { "dropping-particle" : "", "family" : "Levy", "given" : "Sasha F", "non-dropping-particle" : "", "parse-names" : false, "suffix" : "" }, { "dropping-particle" : "", "family" : "Fisher", "given" : "Daniel S", "non-dropping-particle" : "", "parse-names" : false, "suffix" : "" }, { "dropping-particle" : "", "family" : "Sherlock", "given" : "Gavin", "non-dropping-particle" : "", "parse-names" : false, "suffix" : "" }, { "dropping-particle" : "", "family" : "Petrov", "given" : "Dmitri A", "non-dropping-particle" : "", "parse-names" : false, "suffix" : "" } ], "container-title" : "Cell", "id" : "ITEM-1", "issue" : "6", "issued" : { "date-parts" : [ [ "2016" ] ] }, "page" : "1585-1596.e22", "title" : "Development of a Comprehensive Genotype-to-Fitness Map of Adaptation-Driving Mutations in Yeast", "type" : "article-journal", "volume" : "166" }, "uris" : [ "http://www.mendeley.com/documents/?uuid=0a8a7b43-a21c-41aa-a322-353ee0ec7e55" ] }, { "id" : "ITEM-2", "itemData" : { "DOI" : "10.1016/j.cub.2018.01.009", "ISSN" : "09609822", "PMID" : "29429618", "abstract" : "Few studies have \u201cquantitatively\u201d probed how adaptive mutations result in increased fitness. Even in simple microbial evolution experiments, with full knowledge of the underlying mutations and specific growth conditions, it is challenging to determine where within a growth-saturation cycle those fitness gains occur. A common implicit assumption is that most benefits derive from an increased exponential growth rate. Here, we instead show that, in batch serial transfer experiments, adaptive mutants\u2019 fitness gains can be dominated by benefits that are accrued in one growth cycle, but not realized until the next growth cycle. For thousands of evolved clones (most with only a single mutation), we systematically varied the lengths of fermentation, respiration, and stationary phases to assess how their fitness, as measured by barcode sequencing, depends on these phases of the growth-saturation-dilution cycles. These data revealed that, whereas all adaptive lineages gained similar and modest benefits from fermentation, most of the benefits for the highest fitness mutants came instead from the time spent in respiration. From monoculture and high-resolution pairwise fitness competition experiments for a dozen of these clones, we determined that the benefits \u201caccrued\u201d during respiration are only largely \u201crealized\u201d later as a shorter duration of lag phase in the following growth cycle. These results reveal hidden complexities of the adaptive process even under ostensibly simple evolutionary conditions, in which fitness gains can accrue during time spent in a growth phase with little cell division, and reveal that the memory of those gains can be realized in the subsequent growth cycle. Quantitative details of how adaptive genotypes gain fitness have rarely been studied. By quantifying fitness benefits of thousands of yeast clones in different parts of the growth-saturation cycle, Li et al. identify distinct adaptive strategies, with some strategies showing clear trade-offs between growth and survival.", "author" : [ { "dropping-particle" : "", "family" : "Li", "given" : "Yuping", "non-dropping-particle" : "", "parse-names" : false, "suffix" : "" }, { "dropping-particle" : "", "family" : "Venkataram", "given" : "Sandeep", "non-dropping-particle" : "", "parse-names" : false, "suffix" : "" }, { "dropping-particle" : "", "family" : "Agarwala", "given" : "Atish", "non-dropping-particle" : "", "parse-names" : false, "suffix" : "" }, { "dropping-particle" : "", "family" : "Dunn", "given" : "Barbara", "non-dropping-particle" : "", "parse-names" : false, "suffix" : "" }, { "dropping-particle" : "", "family" : "Petrov", "given" : "Dmitri A.", "non-dropping-particle" : "", "parse-names" : false, "suffix" : "" }, { "dropping-particle" : "", "family" : "Sherlock", "given" : "Gavin", "non-dropping-particle" : "", "parse-names" : false, "suffix" : "" }, { "dropping-particle" : "", "family" : "Fisher", "given" : "Daniel S.", "non-dropping-particle" : "", "parse-names" : false, "suffix" : "" } ], "container-title" : "Current Biology", "id" : "ITEM-2", "issue" : "4", "issued" : { "date-parts" : [ [ "2018" ] ] }, "page" : "515-525.e6", "publisher" : "Elsevier Ltd.", "title" : "Hidden Complexity of Yeast Adaptation under Simple Evolutionary Conditions", "type" : "article-journal", "volume" : "28" }, "uris" : [ "http://www.mendeley.com/documents/?uuid=796a264e-a8dc-4432-9a86-b88993949cf0" ] } ], "mendeley" : { "formattedCitation" : "(Venkataram et al. 2016; Li et al. 2018)", "plainTextFormattedCitation" : "(Venkataram et al. 2016; Li et al. 2018)", "previouslyFormattedCitation" : "(Venkataram et al. 2016; Li et al. 2018)"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(Venkataram et al. 2016; Li et al. 2018)</w:t>
      </w:r>
      <w:r>
        <w:rPr>
          <w:rFonts w:ascii="Arial" w:hAnsi="Arial" w:cs="Arial"/>
          <w:color w:val="000000"/>
          <w:sz w:val="22"/>
          <w:szCs w:val="22"/>
        </w:rPr>
        <w:fldChar w:fldCharType="end"/>
      </w:r>
      <w:r>
        <w:rPr>
          <w:rFonts w:ascii="Arial" w:hAnsi="Arial" w:cs="Arial"/>
          <w:color w:val="000000"/>
          <w:sz w:val="22"/>
          <w:szCs w:val="22"/>
        </w:rPr>
        <w:t xml:space="preserve">. Our approach builds on the phenotypic intuition supplied by Fisher’s geometric model and takes advantage of this new technology by measuring this dimensionality using subtle environmental perturbations (Fig 1D). That is, we slightly change the environment that mutant linages grow in, and use precise measurements of their fitness relative to the ancestor to triangulate both the mutants and the optima that represent the optimal combination of phenotypes in a given environment. We find the space that best fits our data for each number of dimensions, and then evaluate which number of dimensions gives us the best ability to predict withheld data using cross validation.  </w:t>
      </w:r>
      <w:commentRangeEnd w:id="7"/>
      <w:r>
        <w:rPr>
          <w:rStyle w:val="CommentReference"/>
        </w:rPr>
        <w:commentReference w:id="7"/>
      </w:r>
    </w:p>
    <w:p w14:paraId="0FCA742A"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3E60C78C" w14:textId="60107BDF" w:rsidR="00AB1A44" w:rsidRDefault="00AB1A44" w:rsidP="00FD7F84">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lastRenderedPageBreak/>
        <w:drawing>
          <wp:inline distT="0" distB="0" distL="0" distR="0" wp14:anchorId="736D1078" wp14:editId="6EA578A1">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A8979" w14:textId="415230F2" w:rsidR="000231B9" w:rsidRDefault="008F4A97" w:rsidP="00FD7F84">
      <w:pPr>
        <w:widowControl w:val="0"/>
        <w:autoSpaceDE w:val="0"/>
        <w:autoSpaceDN w:val="0"/>
        <w:adjustRightInd w:val="0"/>
        <w:spacing w:after="240"/>
        <w:rPr>
          <w:rFonts w:ascii="Arial" w:hAnsi="Arial" w:cs="Arial"/>
          <w:color w:val="000000"/>
          <w:sz w:val="20"/>
          <w:szCs w:val="20"/>
        </w:rPr>
      </w:pPr>
      <w:r>
        <w:rPr>
          <w:rFonts w:ascii="Arial" w:hAnsi="Arial" w:cs="Arial"/>
          <w:b/>
          <w:bCs/>
          <w:color w:val="000000"/>
          <w:sz w:val="20"/>
          <w:szCs w:val="20"/>
        </w:rPr>
        <w:t>Figure 1. Fisher’s geometric model and approaches to infer dimensionality. A.</w:t>
      </w:r>
      <w:r>
        <w:rPr>
          <w:rFonts w:ascii="Arial" w:hAnsi="Arial" w:cs="Arial"/>
          <w:color w:val="000000"/>
          <w:sz w:val="20"/>
          <w:szCs w:val="20"/>
        </w:rPr>
        <w:t xml:space="preserve"> In Fisher’s geometric model, traits have independent effects on fitness, and mutations are represented by vectors in phenotype space, where the new mutant genotype is represented by a new location. Fitness is determined by the distance from the optimum (denoted by gray circle).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76D8CEE1" w14:textId="38C7EEC2" w:rsidR="000231B9" w:rsidRPr="00A61656" w:rsidRDefault="000231B9" w:rsidP="00A61656">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Methods</w:t>
      </w:r>
    </w:p>
    <w:p w14:paraId="49F1438B" w14:textId="3AA3DF34" w:rsidR="00E53292" w:rsidRDefault="009B3EC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w:t>
      </w:r>
      <w:r w:rsidR="00FD7F84">
        <w:rPr>
          <w:rFonts w:ascii="Arial" w:hAnsi="Arial" w:cs="Arial"/>
          <w:color w:val="000000"/>
          <w:sz w:val="22"/>
          <w:szCs w:val="22"/>
        </w:rPr>
        <w:t>e consider an explicit mod</w:t>
      </w:r>
      <w:r w:rsidR="00487106">
        <w:rPr>
          <w:rFonts w:ascii="Arial" w:hAnsi="Arial" w:cs="Arial"/>
          <w:color w:val="000000"/>
          <w:sz w:val="22"/>
          <w:szCs w:val="22"/>
        </w:rPr>
        <w:t xml:space="preserve">el of phenotypic evolution </w:t>
      </w:r>
      <w:commentRangeStart w:id="8"/>
      <w:r w:rsidR="00487106">
        <w:rPr>
          <w:rFonts w:ascii="Arial" w:hAnsi="Arial" w:cs="Arial"/>
          <w:color w:val="000000"/>
          <w:sz w:val="22"/>
          <w:szCs w:val="22"/>
        </w:rPr>
        <w:t>analogous</w:t>
      </w:r>
      <w:commentRangeEnd w:id="8"/>
      <w:r w:rsidR="00487106">
        <w:rPr>
          <w:rStyle w:val="CommentReference"/>
        </w:rPr>
        <w:commentReference w:id="8"/>
      </w:r>
      <w:r w:rsidR="00487106">
        <w:rPr>
          <w:rFonts w:ascii="Arial" w:hAnsi="Arial" w:cs="Arial"/>
          <w:color w:val="000000"/>
          <w:sz w:val="22"/>
          <w:szCs w:val="22"/>
        </w:rPr>
        <w:t xml:space="preserve"> to</w:t>
      </w:r>
      <w:r w:rsidR="008527D2">
        <w:rPr>
          <w:rFonts w:ascii="Arial" w:hAnsi="Arial" w:cs="Arial"/>
          <w:color w:val="000000"/>
          <w:sz w:val="22"/>
          <w:szCs w:val="22"/>
        </w:rPr>
        <w:t xml:space="preserve"> Fisher’s Geometric Model </w:t>
      </w:r>
      <w:r w:rsidR="008527D2">
        <w:rPr>
          <w:rFonts w:ascii="Arial" w:hAnsi="Arial" w:cs="Arial"/>
          <w:color w:val="000000"/>
          <w:sz w:val="22"/>
          <w:szCs w:val="22"/>
        </w:rPr>
        <w:fldChar w:fldCharType="begin" w:fldLock="1"/>
      </w:r>
      <w:r w:rsidR="00E111CB">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sidR="008527D2">
        <w:rPr>
          <w:rFonts w:ascii="Arial" w:hAnsi="Arial" w:cs="Arial"/>
          <w:color w:val="000000"/>
          <w:sz w:val="22"/>
          <w:szCs w:val="22"/>
        </w:rPr>
        <w:fldChar w:fldCharType="separate"/>
      </w:r>
      <w:r w:rsidR="008527D2" w:rsidRPr="008527D2">
        <w:rPr>
          <w:rFonts w:ascii="Arial" w:hAnsi="Arial" w:cs="Arial"/>
          <w:noProof/>
          <w:color w:val="000000"/>
          <w:sz w:val="22"/>
          <w:szCs w:val="22"/>
        </w:rPr>
        <w:t>(Fisher 1930)</w:t>
      </w:r>
      <w:r w:rsidR="008527D2">
        <w:rPr>
          <w:rFonts w:ascii="Arial" w:hAnsi="Arial" w:cs="Arial"/>
          <w:color w:val="000000"/>
          <w:sz w:val="22"/>
          <w:szCs w:val="22"/>
        </w:rPr>
        <w:fldChar w:fldCharType="end"/>
      </w:r>
      <w:r w:rsidR="00FD7F84">
        <w:rPr>
          <w:rFonts w:ascii="Arial" w:hAnsi="Arial" w:cs="Arial"/>
          <w:color w:val="000000"/>
          <w:sz w:val="22"/>
          <w:szCs w:val="22"/>
        </w:rPr>
        <w:t xml:space="preserve">. </w:t>
      </w:r>
      <w:r w:rsidR="00487106">
        <w:rPr>
          <w:rFonts w:ascii="Arial" w:hAnsi="Arial" w:cs="Arial"/>
          <w:color w:val="000000"/>
          <w:sz w:val="22"/>
          <w:szCs w:val="22"/>
        </w:rPr>
        <w:t>P</w:t>
      </w:r>
      <w:r w:rsidR="008527D2">
        <w:rPr>
          <w:rFonts w:ascii="Arial" w:hAnsi="Arial" w:cs="Arial"/>
          <w:color w:val="000000"/>
          <w:sz w:val="22"/>
          <w:szCs w:val="22"/>
        </w:rPr>
        <w:t xml:space="preserve">henotypes are depicted as orthogonal axes in a </w:t>
      </w:r>
      <w:r w:rsidR="008527D2">
        <w:rPr>
          <w:rFonts w:ascii="Arial" w:hAnsi="Arial" w:cs="Arial"/>
          <w:i/>
          <w:color w:val="000000"/>
          <w:sz w:val="22"/>
          <w:szCs w:val="22"/>
        </w:rPr>
        <w:t>d</w:t>
      </w:r>
      <w:r w:rsidR="008527D2">
        <w:rPr>
          <w:rFonts w:ascii="Arial" w:hAnsi="Arial" w:cs="Arial"/>
          <w:color w:val="000000"/>
          <w:sz w:val="22"/>
          <w:szCs w:val="22"/>
        </w:rPr>
        <w:t>-dimensional space, with the number of dimensions</w:t>
      </w:r>
      <w:r w:rsidR="004B5991">
        <w:rPr>
          <w:rFonts w:ascii="Arial" w:hAnsi="Arial" w:cs="Arial"/>
          <w:color w:val="000000"/>
          <w:sz w:val="22"/>
          <w:szCs w:val="22"/>
        </w:rPr>
        <w:t xml:space="preserve">, </w:t>
      </w:r>
      <w:r w:rsidR="008527D2">
        <w:rPr>
          <w:rFonts w:ascii="Arial" w:hAnsi="Arial" w:cs="Arial"/>
          <w:i/>
          <w:color w:val="000000"/>
          <w:sz w:val="22"/>
          <w:szCs w:val="22"/>
        </w:rPr>
        <w:t>d</w:t>
      </w:r>
      <w:r w:rsidR="004B5991">
        <w:rPr>
          <w:rFonts w:ascii="Arial" w:hAnsi="Arial" w:cs="Arial"/>
          <w:i/>
          <w:color w:val="000000"/>
          <w:sz w:val="22"/>
          <w:szCs w:val="22"/>
        </w:rPr>
        <w:t>,</w:t>
      </w:r>
      <w:r w:rsidR="00514E6A">
        <w:rPr>
          <w:rFonts w:ascii="Arial" w:hAnsi="Arial" w:cs="Arial"/>
          <w:color w:val="000000"/>
          <w:sz w:val="22"/>
          <w:szCs w:val="22"/>
        </w:rPr>
        <w:t xml:space="preserve"> representing the number of traits</w:t>
      </w:r>
      <w:r w:rsidR="008527D2">
        <w:rPr>
          <w:rFonts w:ascii="Arial" w:hAnsi="Arial" w:cs="Arial"/>
          <w:color w:val="000000"/>
          <w:sz w:val="22"/>
          <w:szCs w:val="22"/>
        </w:rPr>
        <w:t xml:space="preserve"> possibly relevant in this space. Organisms </w:t>
      </w:r>
      <w:r>
        <w:rPr>
          <w:rFonts w:ascii="Arial" w:hAnsi="Arial" w:cs="Arial"/>
          <w:color w:val="000000"/>
          <w:sz w:val="22"/>
          <w:szCs w:val="22"/>
        </w:rPr>
        <w:t xml:space="preserve">are depicted as points in this </w:t>
      </w:r>
      <w:r>
        <w:rPr>
          <w:rFonts w:ascii="Arial" w:hAnsi="Arial" w:cs="Arial"/>
          <w:i/>
          <w:color w:val="000000"/>
          <w:sz w:val="22"/>
          <w:szCs w:val="22"/>
        </w:rPr>
        <w:t>d</w:t>
      </w:r>
      <w:r w:rsidR="008527D2">
        <w:rPr>
          <w:rFonts w:ascii="Arial" w:hAnsi="Arial" w:cs="Arial"/>
          <w:color w:val="000000"/>
          <w:sz w:val="22"/>
          <w:szCs w:val="22"/>
        </w:rPr>
        <w:t xml:space="preserve">-dimensional space, with </w:t>
      </w:r>
      <w:r>
        <w:rPr>
          <w:rFonts w:ascii="Arial" w:hAnsi="Arial" w:cs="Arial"/>
          <w:color w:val="000000"/>
          <w:sz w:val="22"/>
          <w:szCs w:val="22"/>
        </w:rPr>
        <w:t xml:space="preserve">their position determined by the combination of phenotypes represented by that particular organism. An organism’s absolute fitness in a particular environment is determined by a function </w:t>
      </w:r>
      <w:r w:rsidR="00E53292">
        <w:rPr>
          <w:rFonts w:ascii="Arial" w:hAnsi="Arial" w:cs="Arial"/>
          <w:color w:val="000000"/>
          <w:sz w:val="22"/>
          <w:szCs w:val="22"/>
        </w:rPr>
        <w:t>of its distance from an optimal phenotype</w:t>
      </w:r>
      <w:r w:rsidR="00514E6A">
        <w:rPr>
          <w:rFonts w:ascii="Arial" w:hAnsi="Arial" w:cs="Arial"/>
          <w:color w:val="000000"/>
          <w:sz w:val="22"/>
          <w:szCs w:val="22"/>
        </w:rPr>
        <w:t xml:space="preserve">. </w:t>
      </w:r>
    </w:p>
    <w:p w14:paraId="2574D649" w14:textId="51BC692F" w:rsidR="00487106" w:rsidRDefault="00E111CB"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lastRenderedPageBreak/>
        <w:t xml:space="preserve">Our implementation of the model makes some inherent assumptions about the fitness function that determines fitness in each environment. First, it assumes that each trait 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sidR="00C53EE7">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9"/>
      <w:r>
        <w:rPr>
          <w:rFonts w:ascii="Arial" w:hAnsi="Arial" w:cs="Arial"/>
          <w:color w:val="000000"/>
          <w:sz w:val="22"/>
          <w:szCs w:val="22"/>
        </w:rPr>
        <w:t xml:space="preserve">ut is not generally true if the interactions between traits differ between conditions. </w:t>
      </w:r>
      <w:commentRangeEnd w:id="9"/>
      <w:r>
        <w:rPr>
          <w:rStyle w:val="CommentReference"/>
        </w:rPr>
        <w:commentReference w:id="9"/>
      </w:r>
      <w:r>
        <w:rPr>
          <w:rFonts w:ascii="Arial" w:hAnsi="Arial" w:cs="Arial"/>
          <w:color w:val="000000"/>
          <w:sz w:val="22"/>
          <w:szCs w:val="22"/>
        </w:rPr>
        <w:t xml:space="preserve">Second, each trait is rescaled such that they have equal effect on fitness in a given condition. We assume this scaling holds for all conditions. </w:t>
      </w:r>
      <w:r w:rsidR="00487106">
        <w:rPr>
          <w:rFonts w:ascii="Arial" w:hAnsi="Arial" w:cs="Arial"/>
          <w:color w:val="000000"/>
          <w:sz w:val="22"/>
          <w:szCs w:val="22"/>
        </w:rPr>
        <w:t xml:space="preserve">Furthermore, we assume that </w:t>
      </w:r>
      <w:r w:rsidR="00EA5969">
        <w:rPr>
          <w:rFonts w:ascii="Arial" w:hAnsi="Arial" w:cs="Arial"/>
          <w:color w:val="000000"/>
          <w:sz w:val="22"/>
          <w:szCs w:val="22"/>
        </w:rPr>
        <w:t xml:space="preserve">absolute </w:t>
      </w:r>
      <w:r w:rsidR="00487106">
        <w:rPr>
          <w:rFonts w:ascii="Arial" w:hAnsi="Arial" w:cs="Arial"/>
          <w:color w:val="000000"/>
          <w:sz w:val="22"/>
          <w:szCs w:val="22"/>
        </w:rPr>
        <w:t>fitness in a given environment is a Gaussian function of the distance between an organism’s location in phenotype space and the location of the optimum for that particular environment:</w:t>
      </w:r>
    </w:p>
    <w:p w14:paraId="127F472E" w14:textId="56420997" w:rsidR="00487106" w:rsidRDefault="006D3205" w:rsidP="008F4A97">
      <w:pPr>
        <w:widowControl w:val="0"/>
        <w:autoSpaceDE w:val="0"/>
        <w:autoSpaceDN w:val="0"/>
        <w:adjustRightInd w:val="0"/>
        <w:spacing w:after="240" w:line="288" w:lineRule="auto"/>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r>
            <w:rPr>
              <w:rFonts w:ascii="Cambria Math" w:hAnsi="Cambria Math" w:cs="Arial"/>
              <w:color w:val="000000"/>
              <w:sz w:val="22"/>
              <w:szCs w:val="22"/>
            </w:rPr>
            <m:t>=</m:t>
          </m:r>
          <m:f>
            <m:fPr>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num>
            <m:den>
              <m:rad>
                <m:radPr>
                  <m:degHide m:val="1"/>
                  <m:ctrlPr>
                    <w:rPr>
                      <w:rFonts w:ascii="Cambria Math" w:hAnsi="Cambria Math" w:cs="Arial"/>
                      <w:i/>
                      <w:color w:val="000000"/>
                      <w:sz w:val="22"/>
                      <w:szCs w:val="22"/>
                    </w:rPr>
                  </m:ctrlPr>
                </m:radPr>
                <m:deg/>
                <m:e>
                  <m:r>
                    <w:rPr>
                      <w:rFonts w:ascii="Cambria Math" w:hAnsi="Cambria Math" w:cs="Arial"/>
                      <w:color w:val="000000"/>
                      <w:sz w:val="22"/>
                      <w:szCs w:val="22"/>
                    </w:rPr>
                    <m:t>2π</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e>
              </m:rad>
            </m:den>
          </m:f>
          <m:func>
            <m:funcPr>
              <m:ctrlPr>
                <w:rPr>
                  <w:rFonts w:ascii="Cambria Math" w:hAnsi="Cambria Math" w:cs="Arial"/>
                  <w:i/>
                  <w:color w:val="000000"/>
                  <w:sz w:val="22"/>
                  <w:szCs w:val="22"/>
                </w:rPr>
              </m:ctrlPr>
            </m:funcPr>
            <m:fName>
              <m:r>
                <m:rPr>
                  <m:sty m:val="p"/>
                </m:rPr>
                <w:rPr>
                  <w:rFonts w:ascii="Cambria Math" w:hAnsi="Cambria Math" w:cs="Arial"/>
                  <w:color w:val="000000"/>
                  <w:sz w:val="22"/>
                  <w:szCs w:val="22"/>
                </w:rPr>
                <m:t>exp</m:t>
              </m:r>
            </m:fName>
            <m:e>
              <m:d>
                <m:dPr>
                  <m:ctrlPr>
                    <w:rPr>
                      <w:rFonts w:ascii="Cambria Math" w:hAnsi="Cambria Math" w:cs="Arial"/>
                      <w:i/>
                      <w:color w:val="000000"/>
                      <w:sz w:val="22"/>
                      <w:szCs w:val="22"/>
                    </w:rPr>
                  </m:ctrlPr>
                </m:dPr>
                <m:e>
                  <m:r>
                    <w:rPr>
                      <w:rFonts w:ascii="Cambria Math" w:hAnsi="Cambria Math" w:cs="Arial"/>
                      <w:color w:val="000000"/>
                      <w:sz w:val="22"/>
                      <w:szCs w:val="22"/>
                    </w:rPr>
                    <m:t>-</m:t>
                  </m:r>
                  <m:f>
                    <m:fPr>
                      <m:ctrlPr>
                        <w:rPr>
                          <w:rFonts w:ascii="Cambria Math" w:hAnsi="Cambria Math" w:cs="Arial"/>
                          <w:i/>
                          <w:color w:val="000000"/>
                          <w:sz w:val="22"/>
                          <w:szCs w:val="22"/>
                        </w:rPr>
                      </m:ctrlPr>
                    </m:fPr>
                    <m:num>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num>
                    <m:den>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den>
                  </m:f>
                </m:e>
              </m:d>
            </m:e>
          </m:func>
        </m:oMath>
      </m:oMathPara>
    </w:p>
    <w:p w14:paraId="1AB30A18" w14:textId="371C67C9" w:rsidR="00D61852" w:rsidRDefault="006D3205" w:rsidP="001F68DF">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where</w:t>
      </w:r>
      <w:r w:rsidR="00EA5969">
        <w:rPr>
          <w:rFonts w:ascii="Arial" w:hAnsi="Arial" w:cs="Arial"/>
          <w:color w:val="000000"/>
          <w:sz w:val="22"/>
          <w:szCs w:val="22"/>
        </w:rPr>
        <w:t xml:space="preserve"> h_k is the height, \sigma_k^2 is the variance, x_ij represents the ith coordianate of the jth mutant, o_ik represents the ith coordinate of the kth optimum.  </w:t>
      </w:r>
      <w:r>
        <w:rPr>
          <w:rFonts w:ascii="Arial" w:hAnsi="Arial" w:cs="Arial"/>
          <w:color w:val="000000"/>
          <w:sz w:val="22"/>
          <w:szCs w:val="22"/>
        </w:rPr>
        <w:t xml:space="preserve"> This function is typically assumed for many investigations of Fisher’s model [cite a bunch] due to analytical tractability</w:t>
      </w:r>
      <w:r w:rsidR="001F68DF">
        <w:rPr>
          <w:rFonts w:ascii="Arial" w:hAnsi="Arial" w:cs="Arial"/>
          <w:color w:val="000000"/>
          <w:sz w:val="22"/>
          <w:szCs w:val="22"/>
        </w:rPr>
        <w:t xml:space="preserve">.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 An exponential function of squared distance (of which this is) is the only class of functions with this property (see </w:t>
      </w:r>
      <w:r w:rsidR="00B03CA8">
        <w:rPr>
          <w:rFonts w:ascii="Arial" w:hAnsi="Arial" w:cs="Arial"/>
          <w:color w:val="000000"/>
          <w:sz w:val="22"/>
          <w:szCs w:val="22"/>
        </w:rPr>
        <w:t>SI).</w:t>
      </w:r>
    </w:p>
    <w:p w14:paraId="6295260C" w14:textId="20F60B9C"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Simulation Methods</w:t>
      </w:r>
    </w:p>
    <w:p w14:paraId="7C756034" w14:textId="70E10772" w:rsidR="00D03ABE" w:rsidRDefault="00D03ABE" w:rsidP="00D03ABE">
      <w:pPr>
        <w:widowControl w:val="0"/>
        <w:autoSpaceDE w:val="0"/>
        <w:autoSpaceDN w:val="0"/>
        <w:adjustRightInd w:val="0"/>
        <w:spacing w:after="240" w:line="288" w:lineRule="auto"/>
        <w:rPr>
          <w:rFonts w:ascii="Arial" w:hAnsi="Arial" w:cs="Arial"/>
          <w:color w:val="000000"/>
          <w:sz w:val="22"/>
          <w:szCs w:val="22"/>
        </w:rPr>
      </w:pPr>
      <w:r>
        <w:rPr>
          <w:rFonts w:ascii="Helvetica Neue" w:hAnsi="Helvetica Neue" w:cs="Helvetica Neue"/>
          <w:color w:val="000000"/>
          <w:sz w:val="22"/>
          <w:szCs w:val="22"/>
        </w:rPr>
        <w:t>T</w:t>
      </w:r>
      <w:r>
        <w:rPr>
          <w:rFonts w:ascii="Arial" w:hAnsi="Arial" w:cs="Arial"/>
          <w:color w:val="000000"/>
          <w:sz w:val="22"/>
          <w:szCs w:val="22"/>
        </w:rPr>
        <w:t xml:space="preserve">o </w:t>
      </w:r>
      <w:r w:rsidR="00810FAF">
        <w:rPr>
          <w:rFonts w:ascii="Arial" w:hAnsi="Arial" w:cs="Arial"/>
          <w:color w:val="000000"/>
          <w:sz w:val="22"/>
          <w:szCs w:val="22"/>
        </w:rPr>
        <w:t>test our</w:t>
      </w:r>
      <w:r>
        <w:rPr>
          <w:rFonts w:ascii="Arial" w:hAnsi="Arial" w:cs="Arial"/>
          <w:color w:val="000000"/>
          <w:sz w:val="22"/>
          <w:szCs w:val="22"/>
        </w:rPr>
        <w:t xml:space="preserve"> method</w:t>
      </w:r>
      <w:r w:rsidR="00810FAF">
        <w:rPr>
          <w:rFonts w:ascii="Arial" w:hAnsi="Arial" w:cs="Arial"/>
          <w:color w:val="000000"/>
          <w:sz w:val="22"/>
          <w:szCs w:val="22"/>
        </w:rPr>
        <w:t xml:space="preserve"> for estimating the phenotypic space from fitness data</w:t>
      </w:r>
      <w:r>
        <w:rPr>
          <w:rFonts w:ascii="Arial" w:hAnsi="Arial" w:cs="Arial"/>
          <w:color w:val="000000"/>
          <w:sz w:val="22"/>
          <w:szCs w:val="22"/>
        </w:rPr>
        <w:t>, we perform a simulation study. First, we simulate data that fits our phenotypic model and then feed the corresponding data into our method to infer the phenotype space and number of fitness-relevant phenotypes.</w:t>
      </w:r>
      <w:commentRangeStart w:id="10"/>
      <w:r>
        <w:rPr>
          <w:rFonts w:ascii="Arial" w:hAnsi="Arial" w:cs="Arial"/>
          <w:color w:val="000000"/>
          <w:sz w:val="22"/>
          <w:szCs w:val="22"/>
        </w:rPr>
        <w:t xml:space="preserve">. For simplicity and consistency with previous literature, we start with a Gaussian function of distance. </w:t>
      </w:r>
      <w:commentRangeEnd w:id="10"/>
      <w:r w:rsidR="00EF09D4">
        <w:rPr>
          <w:rStyle w:val="CommentReference"/>
        </w:rPr>
        <w:commentReference w:id="10"/>
      </w:r>
    </w:p>
    <w:p w14:paraId="02EECD34" w14:textId="30B42E34" w:rsidR="00133BDB" w:rsidRDefault="00133BDB"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 – </w:t>
      </w:r>
    </w:p>
    <w:p w14:paraId="0B1DC677" w14:textId="61432551" w:rsidR="009D3818" w:rsidRDefault="00133BDB"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The second technique simulates an n−dimensional phenotype space by randomly placing the ancestor on the surface of the n−ball 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t>
      </w:r>
    </w:p>
    <w:p w14:paraId="69C38F1C" w14:textId="6E46B99B" w:rsidR="0062520A" w:rsidRDefault="0062520A"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lastRenderedPageBreak/>
        <w:t>To keep our simulation data realistic, we also simulate</w:t>
      </w:r>
      <w:r w:rsidR="006821EB">
        <w:rPr>
          <w:rFonts w:ascii="Arial" w:hAnsi="Arial" w:cs="Arial"/>
          <w:color w:val="000000"/>
          <w:sz w:val="22"/>
          <w:szCs w:val="22"/>
        </w:rPr>
        <w:t xml:space="preserve"> Gaussian</w:t>
      </w:r>
      <w:r>
        <w:rPr>
          <w:rFonts w:ascii="Arial" w:hAnsi="Arial" w:cs="Arial"/>
          <w:color w:val="000000"/>
          <w:sz w:val="22"/>
          <w:szCs w:val="22"/>
        </w:rPr>
        <w:t xml:space="preserve"> measurement noise to ensure our estimation can properly handle realistic levels of noise from fitness measurement studies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"10.1016/j.cell.2016.08.002", "ISBN" : "0092-8674", "ISSN" : "10974172", "PMID" : "27594428", "abstract" : "Adaptive evolution plays a large role in generating the phenotypic diversity observed in nature, yet current methods are impractical for characterizing the molecular basis and fitness effects of large numbers of individual adaptive mutations. Here, we used a DNA barcoding approach to generate the genotype-to-fitness map for adaptation-driving mutations from a Saccharomyces cerevisiae population experimentally evolved by serial transfer under limiting glucose. We isolated and measured the fitness of thousands of independent adaptive clones and sequenced the genomes of hundreds of clones. We found only two major classes of adaptive mutations: self-diploidization and mutations in the nutrient-responsive Ras/PKA and TOR/Sch9 pathways. Our large sample size and precision of measurement allowed us to determine that there are significant differences in fitness between mutations in different genes, between different paralogs, and even between different classes of mutations within the same gene.", "author" : [ { "dropping-particle" : "", "family" : "Venkataram", "given" : "Sandeep", "non-dropping-particle" : "", "parse-names" : false, "suffix" : "" }, { "dropping-particle" : "", "family" : "Dunn", "given" : "Barbara", "non-dropping-particle" : "", "parse-names" : false, "suffix" : "" }, { "dropping-particle" : "", "family" : "Li", "given" : "Yuping", "non-dropping-particle" : "", "parse-names" : false, "suffix" : "" }, { "dropping-particle" : "", "family" : "Agarwala", "given" : "Atish", "non-dropping-particle" : "", "parse-names" : false, "suffix" : "" }, { "dropping-particle" : "", "family" : "Chang", "given" : "Jessica", "non-dropping-particle" : "", "parse-names" : false, "suffix" : "" }, { "dropping-particle" : "", "family" : "Ebel", "given" : "Emily R", "non-dropping-particle" : "", "parse-names" : false, "suffix" : "" }, { "dropping-particle" : "", "family" : "Geiler-Samerotte", "given" : "Kerry", "non-dropping-particle" : "", "parse-names" : false, "suffix" : "" }, { "dropping-particle" : "", "family" : "Herissant", "given" : "Lucas", "non-dropping-particle" : "", "parse-names" : false, "suffix" : "" }, { "dropping-particle" : "", "family" : "Blundell", "given" : "Jamie R", "non-dropping-particle" : "", "parse-names" : false, "suffix" : "" }, { "dropping-particle" : "", "family" : "Levy", "given" : "Sasha F", "non-dropping-particle" : "", "parse-names" : false, "suffix" : "" }, { "dropping-particle" : "", "family" : "Fisher", "given" : "Daniel S", "non-dropping-particle" : "", "parse-names" : false, "suffix" : "" }, { "dropping-particle" : "", "family" : "Sherlock", "given" : "Gavin", "non-dropping-particle" : "", "parse-names" : false, "suffix" : "" }, { "dropping-particle" : "", "family" : "Petrov", "given" : "Dmitri A", "non-dropping-particle" : "", "parse-names" : false, "suffix" : "" } ], "container-title" : "Cell", "id" : "ITEM-1", "issue" : "6", "issued" : { "date-parts" : [ [ "2016" ] ] }, "page" : "1585-1596.e22", "title" : "Development of a Comprehensive Genotype-to-Fitness Map of Adaptation-Driving Mutations in Yeast", "type" : "article-journal", "volume" : "166" }, "uris" : [ "http://www.mendeley.com/documents/?uuid=0a8a7b43-a21c-41aa-a322-353ee0ec7e55" ] } ], "mendeley" : { "formattedCitation" : "(Venkataram et al. 2016)", "plainTextFormattedCitation" : "(Venkataram et al. 2016)", "previouslyFormattedCitation" : "(Venkataram et al. 2016)"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(Venkataram et al. 2016)</w:t>
      </w:r>
      <w:r>
        <w:rPr>
          <w:rFonts w:ascii="Arial" w:hAnsi="Arial" w:cs="Arial"/>
          <w:color w:val="000000"/>
          <w:sz w:val="22"/>
          <w:szCs w:val="22"/>
        </w:rPr>
        <w:fldChar w:fldCharType="end"/>
      </w:r>
      <w:r>
        <w:rPr>
          <w:rFonts w:ascii="Arial" w:hAnsi="Arial" w:cs="Arial"/>
          <w:color w:val="000000"/>
          <w:sz w:val="22"/>
          <w:szCs w:val="22"/>
        </w:rPr>
        <w:t>.</w:t>
      </w:r>
    </w:p>
    <w:p w14:paraId="0EE18343" w14:textId="481C9D0F" w:rsid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 xml:space="preserve">Estimation </w:t>
      </w:r>
      <w:commentRangeStart w:id="11"/>
      <w:r w:rsidRPr="00D03ABE">
        <w:rPr>
          <w:rFonts w:ascii="Arial" w:hAnsi="Arial" w:cs="Arial"/>
          <w:i/>
          <w:color w:val="000000"/>
          <w:sz w:val="22"/>
          <w:szCs w:val="22"/>
        </w:rPr>
        <w:t>Methods</w:t>
      </w:r>
      <w:commentRangeEnd w:id="11"/>
      <w:r w:rsidR="003F1DFD">
        <w:rPr>
          <w:rStyle w:val="CommentReference"/>
        </w:rPr>
        <w:commentReference w:id="11"/>
      </w:r>
    </w:p>
    <w:p w14:paraId="7FCE826D" w14:textId="4C3B34A1" w:rsidR="003F1DFD" w:rsidRDefault="008E4F2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phenotypic space of our model from a set of mutants, we use</w:t>
      </w:r>
      <w:r w:rsidR="00CC0C0C">
        <w:rPr>
          <w:rFonts w:ascii="Arial" w:hAnsi="Arial" w:cs="Arial"/>
          <w:color w:val="000000"/>
          <w:sz w:val="22"/>
          <w:szCs w:val="22"/>
        </w:rPr>
        <w:t xml:space="preserve"> an optimization technique on the</w:t>
      </w:r>
      <w:r>
        <w:rPr>
          <w:rFonts w:ascii="Arial" w:hAnsi="Arial" w:cs="Arial"/>
          <w:color w:val="000000"/>
          <w:sz w:val="22"/>
          <w:szCs w:val="22"/>
        </w:rPr>
        <w:t xml:space="preserve"> relative fitness values</w:t>
      </w:r>
      <w:r w:rsidR="00CC0C0C">
        <w:rPr>
          <w:rFonts w:ascii="Arial" w:hAnsi="Arial" w:cs="Arial"/>
          <w:color w:val="000000"/>
          <w:sz w:val="22"/>
          <w:szCs w:val="22"/>
        </w:rPr>
        <w:t xml:space="preserve"> of the set of mutants</w:t>
      </w:r>
      <w:r>
        <w:rPr>
          <w:rFonts w:ascii="Arial" w:hAnsi="Arial" w:cs="Arial"/>
          <w:color w:val="000000"/>
          <w:sz w:val="22"/>
          <w:szCs w:val="22"/>
        </w:rPr>
        <w:t xml:space="preserve"> across subtle environmental perturbat</w:t>
      </w:r>
      <w:r w:rsidR="00CC0C0C">
        <w:rPr>
          <w:rFonts w:ascii="Arial" w:hAnsi="Arial" w:cs="Arial"/>
          <w:color w:val="000000"/>
          <w:sz w:val="22"/>
          <w:szCs w:val="22"/>
        </w:rPr>
        <w:t xml:space="preserve">ions. For a given number of traits </w:t>
      </w:r>
      <w:r w:rsidR="00CC0C0C">
        <w:rPr>
          <w:rFonts w:ascii="Arial" w:hAnsi="Arial" w:cs="Arial"/>
          <w:i/>
          <w:color w:val="000000"/>
          <w:sz w:val="22"/>
          <w:szCs w:val="22"/>
        </w:rPr>
        <w:t>D</w:t>
      </w:r>
      <w:r w:rsidR="00CC0C0C">
        <w:rPr>
          <w:rFonts w:ascii="Arial" w:hAnsi="Arial" w:cs="Arial"/>
          <w:color w:val="000000"/>
          <w:sz w:val="22"/>
          <w:szCs w:val="22"/>
        </w:rPr>
        <w:t>, we aim to find the positions of mutants, optima, and the ancestor that best fits our relative fitness data. We do this by finding the parameters that minimize the function:</w:t>
      </w:r>
    </w:p>
    <w:p w14:paraId="0F87E21E" w14:textId="2972FB8A" w:rsidR="00505574" w:rsidRPr="00505574" w:rsidRDefault="00A76242" w:rsidP="00505574">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6C6CD5AC" w14:textId="25011103" w:rsidR="00505574" w:rsidRDefault="00512255" w:rsidP="008F4A97">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sidR="00E42868">
        <w:rPr>
          <w:rFonts w:ascii="Arial" w:eastAsiaTheme="minorEastAsia" w:hAnsi="Arial" w:cs="Arial"/>
          <w:color w:val="000000"/>
          <w:sz w:val="22"/>
          <w:szCs w:val="22"/>
        </w:rPr>
        <w:t xml:space="preserve"> a</w:t>
      </w:r>
      <w:r>
        <w:rPr>
          <w:rFonts w:ascii="Arial" w:eastAsiaTheme="minorEastAsia" w:hAnsi="Arial" w:cs="Arial"/>
          <w:color w:val="000000"/>
          <w:sz w:val="22"/>
          <w:szCs w:val="22"/>
        </w:rPr>
        <w:t xml:space="preserve"> measure of the </w:t>
      </w:r>
      <w:commentRangeStart w:id="12"/>
      <w:r>
        <w:rPr>
          <w:rFonts w:ascii="Arial" w:eastAsiaTheme="minorEastAsia" w:hAnsi="Arial" w:cs="Arial"/>
          <w:color w:val="000000"/>
          <w:sz w:val="22"/>
          <w:szCs w:val="22"/>
        </w:rPr>
        <w:t xml:space="preserve">measurement uncertainty (see SI). </w:t>
      </w:r>
      <w:commentRangeEnd w:id="12"/>
      <w:r w:rsidR="00E9642C">
        <w:rPr>
          <w:rStyle w:val="CommentReference"/>
        </w:rPr>
        <w:commentReference w:id="12"/>
      </w:r>
    </w:p>
    <w:p w14:paraId="395CA3FE" w14:textId="582DC4BF" w:rsidR="008E4F25" w:rsidRDefault="005314F6" w:rsidP="008E4F25">
      <w:pPr>
        <w:widowControl w:val="0"/>
        <w:autoSpaceDE w:val="0"/>
        <w:autoSpaceDN w:val="0"/>
        <w:adjustRightInd w:val="0"/>
        <w:spacing w:after="240" w:line="288" w:lineRule="auto"/>
        <w:rPr>
          <w:rFonts w:ascii="Arial" w:hAnsi="Arial" w:cs="Arial"/>
          <w:color w:val="000000"/>
          <w:sz w:val="22"/>
          <w:szCs w:val="22"/>
        </w:rPr>
      </w:pPr>
      <w:r>
        <w:rPr>
          <w:rFonts w:ascii="Arial" w:eastAsiaTheme="minorEastAsia" w:hAnsi="Arial" w:cs="Arial"/>
          <w:color w:val="000000"/>
          <w:sz w:val="22"/>
          <w:szCs w:val="22"/>
        </w:rPr>
        <w:t xml:space="preserve">We use </w:t>
      </w:r>
      <w:r w:rsidR="00512255">
        <w:rPr>
          <w:rFonts w:ascii="Arial" w:eastAsiaTheme="minorEastAsia" w:hAnsi="Arial" w:cs="Arial"/>
          <w:color w:val="000000"/>
          <w:sz w:val="22"/>
          <w:szCs w:val="22"/>
        </w:rPr>
        <w:t>a global optimization technique to find the parameter values minimize this scor</w:t>
      </w:r>
      <w:r>
        <w:rPr>
          <w:rFonts w:ascii="Arial" w:eastAsiaTheme="minorEastAsia" w:hAnsi="Arial" w:cs="Arial"/>
          <w:color w:val="000000"/>
          <w:sz w:val="22"/>
          <w:szCs w:val="22"/>
        </w:rPr>
        <w:t>e for each number of dimensions.</w:t>
      </w:r>
      <w:r>
        <w:rPr>
          <w:rFonts w:ascii="Arial" w:hAnsi="Arial" w:cs="Arial"/>
          <w:color w:val="000000"/>
          <w:sz w:val="22"/>
          <w:szCs w:val="22"/>
        </w:rPr>
        <w:t xml:space="preserve"> </w:t>
      </w:r>
      <w:r w:rsidR="008E4F25">
        <w:rPr>
          <w:rFonts w:ascii="Arial" w:hAnsi="Arial" w:cs="Arial"/>
          <w:color w:val="000000"/>
          <w:sz w:val="22"/>
          <w:szCs w:val="22"/>
        </w:rPr>
        <w:t>To estimate the number of dimensions and avoid overfitting, we use a</w:t>
      </w:r>
      <w:r w:rsidR="00C53EE7">
        <w:rPr>
          <w:rFonts w:ascii="Arial" w:hAnsi="Arial" w:cs="Arial"/>
          <w:color w:val="000000"/>
          <w:sz w:val="22"/>
          <w:szCs w:val="22"/>
        </w:rPr>
        <w:t xml:space="preserve"> 5-fold</w:t>
      </w:r>
      <w:r w:rsidR="008E4F25">
        <w:rPr>
          <w:rFonts w:ascii="Arial" w:hAnsi="Arial" w:cs="Arial"/>
          <w:color w:val="000000"/>
          <w:sz w:val="22"/>
          <w:szCs w:val="22"/>
        </w:rPr>
        <w:t xml:space="preserve"> </w:t>
      </w:r>
      <w:r w:rsidR="00C53EE7">
        <w:rPr>
          <w:rFonts w:ascii="Arial" w:hAnsi="Arial" w:cs="Arial"/>
          <w:color w:val="000000"/>
          <w:sz w:val="22"/>
          <w:szCs w:val="22"/>
        </w:rPr>
        <w:t>bi-</w:t>
      </w:r>
      <w:r w:rsidR="008E4F25">
        <w:rPr>
          <w:rFonts w:ascii="Arial" w:hAnsi="Arial" w:cs="Arial"/>
          <w:color w:val="000000"/>
          <w:sz w:val="22"/>
          <w:szCs w:val="22"/>
        </w:rPr>
        <w:t>cross validation scheme</w:t>
      </w:r>
      <w:r w:rsidR="00C53EE7">
        <w:rPr>
          <w:rFonts w:ascii="Arial" w:hAnsi="Arial" w:cs="Arial"/>
          <w:color w:val="000000"/>
          <w:sz w:val="22"/>
          <w:szCs w:val="22"/>
        </w:rPr>
        <w:t xml:space="preserve"> (Fig. 2) analogous to that used for Singular Value Decomposition</w:t>
      </w:r>
      <w:r w:rsidR="00C53EE7">
        <w:rPr>
          <w:rFonts w:ascii="Arial" w:hAnsi="Arial" w:cs="Arial"/>
          <w:color w:val="000000"/>
          <w:sz w:val="22"/>
          <w:szCs w:val="22"/>
        </w:rPr>
        <w:fldChar w:fldCharType="begin" w:fldLock="1"/>
      </w:r>
      <w:r w:rsidR="00C53EE7">
        <w:rPr>
          <w:rFonts w:ascii="Arial" w:hAnsi="Arial" w:cs="Arial"/>
          <w:color w:val="000000"/>
          <w:sz w:val="22"/>
          <w:szCs w:val="22"/>
        </w:rPr>
        <w: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 "properties" : { "noteIndex" : 0 }, "schema" : "https://github.com/citation-style-language/schema/raw/master/csl-citation.json" }</w:instrText>
      </w:r>
      <w:r w:rsidR="00C53EE7">
        <w:rPr>
          <w:rFonts w:ascii="Arial" w:hAnsi="Arial" w:cs="Arial"/>
          <w:color w:val="000000"/>
          <w:sz w:val="22"/>
          <w:szCs w:val="22"/>
        </w:rPr>
        <w:fldChar w:fldCharType="separate"/>
      </w:r>
      <w:r w:rsidR="00C53EE7" w:rsidRPr="00C53EE7">
        <w:rPr>
          <w:rFonts w:ascii="Arial" w:hAnsi="Arial" w:cs="Arial"/>
          <w:noProof/>
          <w:color w:val="000000"/>
          <w:sz w:val="22"/>
          <w:szCs w:val="22"/>
        </w:rPr>
        <w:t>(Owen &amp; Perry 2009)</w:t>
      </w:r>
      <w:r w:rsidR="00C53EE7">
        <w:rPr>
          <w:rFonts w:ascii="Arial" w:hAnsi="Arial" w:cs="Arial"/>
          <w:color w:val="000000"/>
          <w:sz w:val="22"/>
          <w:szCs w:val="22"/>
        </w:rPr>
        <w:fldChar w:fldCharType="end"/>
      </w:r>
      <w:r w:rsidR="00C53EE7">
        <w:rPr>
          <w:rFonts w:ascii="Arial" w:hAnsi="Arial" w:cs="Arial"/>
          <w:color w:val="000000"/>
          <w:sz w:val="22"/>
          <w:szCs w:val="22"/>
        </w:rPr>
        <w:t>. W</w:t>
      </w:r>
      <w:r w:rsidR="008E4F25">
        <w:rPr>
          <w:rFonts w:ascii="Arial" w:hAnsi="Arial" w:cs="Arial"/>
          <w:color w:val="000000"/>
          <w:sz w:val="22"/>
          <w:szCs w:val="22"/>
        </w:rPr>
        <w:t>e divide our data into 5 distinct sets (</w:t>
      </w:r>
      <w:r w:rsidR="000B4D81">
        <w:rPr>
          <w:rFonts w:ascii="Arial" w:hAnsi="Arial" w:cs="Arial"/>
          <w:color w:val="000000"/>
          <w:sz w:val="22"/>
          <w:szCs w:val="22"/>
        </w:rPr>
        <w:t>250 mutants into 5 groups of 50 and 50 conditions into 5 groups of 10</w:t>
      </w:r>
      <w:r w:rsidR="008E4F25">
        <w:rPr>
          <w:rFonts w:ascii="Arial" w:hAnsi="Arial" w:cs="Arial"/>
          <w:color w:val="000000"/>
          <w:sz w:val="22"/>
          <w:szCs w:val="22"/>
        </w:rPr>
        <w:t>).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w:t>
      </w:r>
      <w:r w:rsidR="004A5E3E">
        <w:rPr>
          <w:rFonts w:ascii="Arial" w:hAnsi="Arial" w:cs="Arial"/>
          <w:color w:val="000000"/>
          <w:sz w:val="22"/>
          <w:szCs w:val="22"/>
        </w:rPr>
        <w:t xml:space="preserve">ted for each of the 5 test sets, and we pick the </w:t>
      </w:r>
      <w:r w:rsidR="00C53EE7">
        <w:rPr>
          <w:rFonts w:ascii="Arial" w:hAnsi="Arial" w:cs="Arial"/>
          <w:color w:val="000000"/>
          <w:sz w:val="22"/>
          <w:szCs w:val="22"/>
        </w:rPr>
        <w:t xml:space="preserve">model with the </w:t>
      </w:r>
      <w:r w:rsidR="00815BD3">
        <w:rPr>
          <w:rFonts w:ascii="Arial" w:hAnsi="Arial" w:cs="Arial"/>
          <w:color w:val="000000"/>
          <w:sz w:val="22"/>
          <w:szCs w:val="22"/>
        </w:rPr>
        <w:t>best average predictive ability across all 5 folds.</w:t>
      </w:r>
    </w:p>
    <w:p w14:paraId="2045B09E" w14:textId="1F6D7BF4" w:rsidR="005314F6" w:rsidRDefault="00815BD3" w:rsidP="008E4F25">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[transition paragraph?</w:t>
      </w:r>
      <w:r w:rsidR="005314F6">
        <w:rPr>
          <w:rFonts w:ascii="Arial" w:hAnsi="Arial" w:cs="Arial"/>
          <w:color w:val="000000"/>
          <w:sz w:val="22"/>
          <w:szCs w:val="22"/>
        </w:rPr>
        <w:t>]</w:t>
      </w:r>
    </w:p>
    <w:p w14:paraId="22411189" w14:textId="6A071A44" w:rsidR="006559E7" w:rsidRPr="008D20D9" w:rsidRDefault="008F4A97" w:rsidP="008F4A97">
      <w:pPr>
        <w:widowControl w:val="0"/>
        <w:autoSpaceDE w:val="0"/>
        <w:autoSpaceDN w:val="0"/>
        <w:adjustRightInd w:val="0"/>
        <w:spacing w:after="240" w:line="288" w:lineRule="auto"/>
        <w:rPr>
          <w:rFonts w:ascii="Arial" w:hAnsi="Arial" w:cs="Arial"/>
          <w:b/>
          <w:bCs/>
          <w:color w:val="000000"/>
          <w:sz w:val="22"/>
          <w:szCs w:val="22"/>
        </w:rPr>
      </w:pPr>
      <w:commentRangeStart w:id="13"/>
      <w:r>
        <w:rPr>
          <w:rFonts w:ascii="Arial" w:hAnsi="Arial" w:cs="Arial"/>
          <w:b/>
          <w:bCs/>
          <w:color w:val="000000"/>
          <w:sz w:val="22"/>
          <w:szCs w:val="22"/>
        </w:rPr>
        <w:t>Results</w:t>
      </w:r>
      <w:commentRangeEnd w:id="13"/>
      <w:r w:rsidR="00D03ABE">
        <w:rPr>
          <w:rStyle w:val="CommentReference"/>
        </w:rPr>
        <w:commentReference w:id="13"/>
      </w:r>
    </w:p>
    <w:p w14:paraId="658B0AD7" w14:textId="11CC8B59" w:rsidR="00AB1A44" w:rsidRDefault="00AB1A44" w:rsidP="00DC20FE">
      <w:pPr>
        <w:widowControl w:val="0"/>
        <w:autoSpaceDE w:val="0"/>
        <w:autoSpaceDN w:val="0"/>
        <w:adjustRightInd w:val="0"/>
        <w:spacing w:after="240"/>
        <w:jc w:val="both"/>
        <w:rPr>
          <w:rFonts w:ascii="Arial" w:hAnsi="Arial" w:cs="Arial"/>
          <w:b/>
          <w:color w:val="000000"/>
          <w:sz w:val="20"/>
          <w:szCs w:val="20"/>
        </w:rPr>
      </w:pPr>
      <w:r>
        <w:rPr>
          <w:rFonts w:ascii="Arial" w:hAnsi="Arial" w:cs="Arial"/>
          <w:noProof/>
          <w:color w:val="000000"/>
          <w:sz w:val="22"/>
          <w:szCs w:val="22"/>
        </w:rPr>
        <w:lastRenderedPageBreak/>
        <w:drawing>
          <wp:anchor distT="0" distB="0" distL="114300" distR="114300" simplePos="0" relativeHeight="251659264" behindDoc="0" locked="0" layoutInCell="1" allowOverlap="1" wp14:anchorId="0F2FA0CE" wp14:editId="69E98358">
            <wp:simplePos x="0" y="0"/>
            <wp:positionH relativeFrom="column">
              <wp:posOffset>168275</wp:posOffset>
            </wp:positionH>
            <wp:positionV relativeFrom="paragraph">
              <wp:posOffset>346710</wp:posOffset>
            </wp:positionV>
            <wp:extent cx="5632450" cy="4233545"/>
            <wp:effectExtent l="0" t="0" r="6350" b="8255"/>
            <wp:wrapTopAndBottom/>
            <wp:docPr id="2" name="Picture 2" descr="../DissertationProposal/method_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ertationProposal/method_fig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423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A68E32" w14:textId="0D7D0F9C" w:rsidR="006559E7" w:rsidRPr="00DC20FE" w:rsidRDefault="006559E7" w:rsidP="00DC20FE">
      <w:pPr>
        <w:widowControl w:val="0"/>
        <w:autoSpaceDE w:val="0"/>
        <w:autoSpaceDN w:val="0"/>
        <w:adjustRightInd w:val="0"/>
        <w:spacing w:after="240"/>
        <w:jc w:val="both"/>
        <w:rPr>
          <w:rFonts w:ascii="Arial" w:hAnsi="Arial" w:cs="Arial"/>
          <w:color w:val="000000"/>
          <w:sz w:val="20"/>
          <w:szCs w:val="20"/>
        </w:rPr>
      </w:pPr>
      <w:r w:rsidRPr="006559E7">
        <w:rPr>
          <w:rFonts w:ascii="Arial" w:hAnsi="Arial" w:cs="Arial"/>
          <w:b/>
          <w:color w:val="000000"/>
          <w:sz w:val="20"/>
          <w:szCs w:val="20"/>
        </w:rPr>
        <w:t>Figure 2. Cross validation scheme and simulation results. 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14"/>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14"/>
      <w:r w:rsidR="00D03ABE">
        <w:rPr>
          <w:rStyle w:val="CommentReference"/>
        </w:rPr>
        <w:commentReference w:id="14"/>
      </w:r>
      <w:r w:rsidRPr="006559E7">
        <w:rPr>
          <w:rFonts w:ascii="Arial" w:hAnsi="Arial" w:cs="Arial"/>
          <w:color w:val="000000"/>
          <w:sz w:val="20"/>
          <w:szCs w:val="20"/>
        </w:rPr>
        <w:t xml:space="preserve">of the estimated dimensionality and true dimensionality </w:t>
      </w:r>
      <w:r w:rsidR="00DC20FE">
        <w:rPr>
          <w:rFonts w:ascii="Arial" w:hAnsi="Arial" w:cs="Arial"/>
          <w:color w:val="000000"/>
          <w:sz w:val="20"/>
          <w:szCs w:val="20"/>
        </w:rPr>
        <w:t>across various simulations with simulated measurement error of (</w:t>
      </w:r>
      <m:oMath>
        <m:sSup>
          <m:sSupPr>
            <m:ctrlPr>
              <w:rPr>
                <w:rFonts w:ascii="Cambria Math" w:hAnsi="Cambria Math" w:cs="Arial"/>
                <w:i/>
                <w:color w:val="000000"/>
                <w:sz w:val="20"/>
                <w:szCs w:val="20"/>
              </w:rPr>
            </m:ctrlPr>
          </m:sSupPr>
          <m:e>
            <m:r>
              <w:rPr>
                <w:rFonts w:ascii="Cambria Math" w:hAnsi="Cambria Math" w:cs="Arial"/>
                <w:color w:val="000000"/>
                <w:sz w:val="20"/>
                <w:szCs w:val="20"/>
              </w:rPr>
              <m:t>σ</m:t>
            </m:r>
          </m:e>
          <m:sup>
            <m:r>
              <w:rPr>
                <w:rFonts w:ascii="Cambria Math" w:hAnsi="Cambria Math" w:cs="Arial"/>
                <w:color w:val="000000"/>
                <w:sz w:val="20"/>
                <w:szCs w:val="20"/>
              </w:rPr>
              <m:t>2</m:t>
            </m:r>
          </m:sup>
        </m:sSup>
        <m:r>
          <w:rPr>
            <w:rFonts w:ascii="Cambria Math" w:hAnsi="Cambria Math" w:cs="Arial"/>
            <w:color w:val="000000"/>
            <w:sz w:val="20"/>
            <w:szCs w:val="20"/>
          </w:rPr>
          <m:t>=0.01)</m:t>
        </m:r>
      </m:oMath>
      <w:r w:rsidR="00DC20FE">
        <w:rPr>
          <w:rFonts w:ascii="Arial" w:hAnsi="Arial" w:cs="Arial"/>
          <w:color w:val="000000"/>
          <w:sz w:val="20"/>
          <w:szCs w:val="20"/>
        </w:rPr>
        <w:t xml:space="preserve">. </w:t>
      </w:r>
      <w:commentRangeStart w:id="15"/>
      <w:r w:rsidR="00DC20FE">
        <w:rPr>
          <w:rFonts w:ascii="Arial" w:hAnsi="Arial" w:cs="Arial"/>
          <w:b/>
          <w:color w:val="000000"/>
          <w:sz w:val="20"/>
          <w:szCs w:val="20"/>
        </w:rPr>
        <w:t xml:space="preserve">C. </w:t>
      </w:r>
      <w:r w:rsidR="00DC20FE">
        <w:rPr>
          <w:rFonts w:ascii="Arial" w:hAnsi="Arial" w:cs="Arial"/>
          <w:color w:val="000000"/>
          <w:sz w:val="20"/>
          <w:szCs w:val="20"/>
        </w:rPr>
        <w:t xml:space="preserve">Visualization </w:t>
      </w:r>
      <w:commentRangeEnd w:id="15"/>
      <w:r w:rsidR="00D03ABE">
        <w:rPr>
          <w:rStyle w:val="CommentReference"/>
        </w:rPr>
        <w:commentReference w:id="15"/>
      </w:r>
      <w:r w:rsidR="00DC20FE">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sidR="00DC20FE">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sidR="00DC20FE">
        <w:rPr>
          <w:rFonts w:ascii="Arial" w:hAnsi="Arial" w:cs="Arial"/>
          <w:color w:val="000000"/>
          <w:sz w:val="20"/>
          <w:szCs w:val="20"/>
        </w:rPr>
        <w:t>).</w:t>
      </w:r>
    </w:p>
    <w:p w14:paraId="02C89B88" w14:textId="650359FD" w:rsidR="00D03ABE" w:rsidRDefault="00D03ABE" w:rsidP="008F4A97">
      <w:pPr>
        <w:widowControl w:val="0"/>
        <w:autoSpaceDE w:val="0"/>
        <w:autoSpaceDN w:val="0"/>
        <w:adjustRightInd w:val="0"/>
        <w:spacing w:after="240" w:line="288" w:lineRule="auto"/>
        <w:rPr>
          <w:rFonts w:ascii="Arial" w:hAnsi="Arial" w:cs="Arial"/>
          <w:color w:val="000000"/>
          <w:sz w:val="22"/>
          <w:szCs w:val="22"/>
        </w:rPr>
      </w:pPr>
      <w:commentRangeStart w:id="16"/>
      <w:r>
        <w:rPr>
          <w:rFonts w:ascii="Arial" w:hAnsi="Arial" w:cs="Arial"/>
          <w:i/>
          <w:color w:val="000000"/>
          <w:sz w:val="22"/>
          <w:szCs w:val="22"/>
        </w:rPr>
        <w:t>Result 1: In simplest cases, our method works</w:t>
      </w:r>
      <w:commentRangeEnd w:id="16"/>
      <w:r w:rsidR="00FA680D">
        <w:rPr>
          <w:rStyle w:val="CommentReference"/>
        </w:rPr>
        <w:commentReference w:id="16"/>
      </w:r>
    </w:p>
    <w:p w14:paraId="4CA037D9" w14:textId="30A5DC8C"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R1a: we capture the correct number of dimensions</w:t>
      </w:r>
    </w:p>
    <w:p w14:paraId="398B50C1" w14:textId="443F13D5"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R1b: we capture a reasonable space</w:t>
      </w:r>
    </w:p>
    <w:p w14:paraId="660AB7EE" w14:textId="1A77D3EB"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R1c: we capture</w:t>
      </w:r>
      <w:r w:rsidR="00AE5D6D">
        <w:rPr>
          <w:rFonts w:ascii="Arial" w:hAnsi="Arial" w:cs="Arial"/>
          <w:i/>
          <w:color w:val="000000"/>
          <w:sz w:val="22"/>
          <w:szCs w:val="22"/>
        </w:rPr>
        <w:t xml:space="preserve"> “</w:t>
      </w:r>
      <w:r w:rsidR="002D14C9">
        <w:rPr>
          <w:rFonts w:ascii="Arial" w:hAnsi="Arial" w:cs="Arial"/>
          <w:i/>
          <w:color w:val="000000"/>
          <w:sz w:val="22"/>
          <w:szCs w:val="22"/>
        </w:rPr>
        <w:t>true”</w:t>
      </w:r>
      <w:r w:rsidRPr="00D03ABE">
        <w:rPr>
          <w:rFonts w:ascii="Arial" w:hAnsi="Arial" w:cs="Arial"/>
          <w:i/>
          <w:color w:val="000000"/>
          <w:sz w:val="22"/>
          <w:szCs w:val="22"/>
        </w:rPr>
        <w:t xml:space="preserve"> fitness better </w:t>
      </w:r>
      <w:r w:rsidR="006F1A0B">
        <w:rPr>
          <w:rFonts w:ascii="Arial" w:hAnsi="Arial" w:cs="Arial"/>
          <w:i/>
          <w:color w:val="000000"/>
          <w:sz w:val="22"/>
          <w:szCs w:val="22"/>
        </w:rPr>
        <w:t>than</w:t>
      </w:r>
      <w:r w:rsidRPr="00D03ABE">
        <w:rPr>
          <w:rFonts w:ascii="Arial" w:hAnsi="Arial" w:cs="Arial"/>
          <w:i/>
          <w:color w:val="000000"/>
          <w:sz w:val="22"/>
          <w:szCs w:val="22"/>
        </w:rPr>
        <w:t xml:space="preserve"> </w:t>
      </w:r>
      <w:r w:rsidR="006F1A0B">
        <w:rPr>
          <w:rFonts w:ascii="Arial" w:hAnsi="Arial" w:cs="Arial"/>
          <w:i/>
          <w:color w:val="000000"/>
          <w:sz w:val="22"/>
          <w:szCs w:val="22"/>
        </w:rPr>
        <w:t>the simulated error</w:t>
      </w:r>
    </w:p>
    <w:p w14:paraId="683BB134" w14:textId="4A55736F"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computational method accurately estimates the true number of dimensions using this </w:t>
      </w:r>
      <w:r>
        <w:rPr>
          <w:rFonts w:ascii="Arial" w:hAnsi="Arial" w:cs="Arial"/>
          <w:color w:val="000000"/>
          <w:sz w:val="22"/>
          <w:szCs w:val="22"/>
        </w:rPr>
        <w:lastRenderedPageBreak/>
        <w:t xml:space="preserve">method (Fig 2B), particularly for a low number of dimensions in preliminary simulations. Moreover, it seems like our method, if anything, is prone to overestimating the number of dimensions, indicating that we should be confident that a result is an upper bound on the true underlying dimensionality. </w:t>
      </w:r>
    </w:p>
    <w:p w14:paraId="550A16E5" w14:textId="4AF7CEAC"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In addition to our models estimating the true dimensionality of simulated data well, it is also able to accurately estimate the relative fitness of test data (Fig. 2C), fitting the underlying simulated data better than the noisy measurements passed into the model. This means that our cross validation scheme properly accounts for measurement error and finds the true underlying fitness values. </w:t>
      </w:r>
    </w:p>
    <w:p w14:paraId="4B275A46" w14:textId="31461F82" w:rsidR="001F70EB" w:rsidRDefault="00D03ABE"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Result 2: </w:t>
      </w:r>
      <w:r w:rsidR="00FA680D">
        <w:rPr>
          <w:rFonts w:ascii="Arial" w:hAnsi="Arial" w:cs="Arial"/>
          <w:i/>
          <w:color w:val="000000"/>
          <w:sz w:val="22"/>
          <w:szCs w:val="22"/>
        </w:rPr>
        <w:t>Sensitivity/detectability (“dispersion” vs. measurement error drives this).</w:t>
      </w:r>
    </w:p>
    <w:p w14:paraId="326596E9" w14:textId="34C78F7B" w:rsidR="00D61852" w:rsidRDefault="00D61852" w:rsidP="00D61852">
      <w:pPr>
        <w:widowControl w:val="0"/>
        <w:autoSpaceDE w:val="0"/>
        <w:autoSpaceDN w:val="0"/>
        <w:adjustRightInd w:val="0"/>
        <w:spacing w:after="240" w:line="288" w:lineRule="auto"/>
        <w:rPr>
          <w:rFonts w:ascii="Arial" w:hAnsi="Arial" w:cs="Arial"/>
          <w:color w:val="000000"/>
          <w:sz w:val="22"/>
          <w:szCs w:val="22"/>
        </w:rPr>
      </w:pPr>
      <w:r w:rsidRPr="00D61852">
        <w:rPr>
          <w:rFonts w:ascii="Arial" w:hAnsi="Arial" w:cs="Arial"/>
          <w:color w:val="000000"/>
          <w:sz w:val="22"/>
          <w:szCs w:val="22"/>
        </w:rPr>
        <w:t>The ability to detect the influence depends on the dispersion of mutants and optima in trait space, precision of measurement, and the combination of the two. If mutants and optima are less dispersed (mutants have simil</w:t>
      </w:r>
      <w:r>
        <w:rPr>
          <w:rFonts w:ascii="Arial" w:hAnsi="Arial" w:cs="Arial"/>
          <w:color w:val="000000"/>
          <w:sz w:val="22"/>
          <w:szCs w:val="22"/>
        </w:rPr>
        <w:t>ar phenotypes and conditions</w:t>
      </w:r>
      <w:r w:rsidRPr="00D61852">
        <w:rPr>
          <w:rFonts w:ascii="Arial" w:hAnsi="Arial" w:cs="Arial"/>
          <w:color w:val="000000"/>
          <w:sz w:val="22"/>
          <w:szCs w:val="22"/>
        </w:rPr>
        <w:t xml:space="preserve"> have subtle differences), then more precise measurements are needed (and vice versa). Because our model assumes that each trait contributes equally to fitness, traits that have lower contribution (in un-rescaled space) will al</w:t>
      </w:r>
      <w:r>
        <w:rPr>
          <w:rFonts w:ascii="Arial" w:hAnsi="Arial" w:cs="Arial"/>
          <w:color w:val="000000"/>
          <w:sz w:val="22"/>
          <w:szCs w:val="22"/>
        </w:rPr>
        <w:t xml:space="preserve">so </w:t>
      </w:r>
      <w:commentRangeStart w:id="17"/>
      <w:r>
        <w:rPr>
          <w:rFonts w:ascii="Arial" w:hAnsi="Arial" w:cs="Arial"/>
          <w:color w:val="000000"/>
          <w:sz w:val="22"/>
          <w:szCs w:val="22"/>
        </w:rPr>
        <w:t>have the effect of lowe</w:t>
      </w:r>
      <w:r w:rsidR="008D6834">
        <w:rPr>
          <w:rFonts w:ascii="Arial" w:hAnsi="Arial" w:cs="Arial"/>
          <w:color w:val="000000"/>
          <w:sz w:val="22"/>
          <w:szCs w:val="22"/>
        </w:rPr>
        <w:t>ring the dispersion of mutants for that trait in rescaled space.</w:t>
      </w:r>
      <w:r>
        <w:rPr>
          <w:rFonts w:ascii="Arial" w:hAnsi="Arial" w:cs="Arial"/>
          <w:color w:val="000000"/>
          <w:sz w:val="22"/>
          <w:szCs w:val="22"/>
        </w:rPr>
        <w:t xml:space="preserve"> </w:t>
      </w:r>
      <w:commentRangeEnd w:id="17"/>
      <w:r w:rsidR="004016B4">
        <w:rPr>
          <w:rStyle w:val="CommentReference"/>
        </w:rPr>
        <w:commentReference w:id="17"/>
      </w:r>
    </w:p>
    <w:p w14:paraId="41774390" w14:textId="6E9CABDF" w:rsidR="00D03ABE" w:rsidRPr="00D03ABE" w:rsidRDefault="006F1A0B"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[TBD] but 2a could be selection and 2b could be mutation. Maybe show some figure to explain rescaling in terms of fitness. Probably include something </w:t>
      </w:r>
      <w:r w:rsidR="007A5EDE">
        <w:rPr>
          <w:rFonts w:ascii="Arial" w:hAnsi="Arial" w:cs="Arial"/>
          <w:i/>
          <w:color w:val="000000"/>
          <w:sz w:val="22"/>
          <w:szCs w:val="22"/>
        </w:rPr>
        <w:t>about measurement error in here (and how measurement error x anisotropy effect sensitivity)</w:t>
      </w:r>
    </w:p>
    <w:p w14:paraId="17D37573" w14:textId="264D853C" w:rsidR="00A76242" w:rsidRDefault="006F1A0B"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Result 3: </w:t>
      </w:r>
      <w:r w:rsidR="00FA680D">
        <w:rPr>
          <w:rFonts w:ascii="Arial" w:hAnsi="Arial" w:cs="Arial"/>
          <w:i/>
          <w:color w:val="000000"/>
          <w:sz w:val="22"/>
          <w:szCs w:val="22"/>
        </w:rPr>
        <w:t>New things we can learn from such an approach</w:t>
      </w:r>
    </w:p>
    <w:p w14:paraId="1864B626" w14:textId="0E42AA16" w:rsidR="00FA680D" w:rsidRDefault="00FA680D"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R3a. Identification of “peculiar” behavior of particular combinations of mutants + conditions</w:t>
      </w:r>
      <w:r w:rsidR="00A76242">
        <w:rPr>
          <w:rFonts w:ascii="Arial" w:hAnsi="Arial" w:cs="Arial"/>
          <w:i/>
          <w:color w:val="000000"/>
          <w:sz w:val="22"/>
          <w:szCs w:val="22"/>
        </w:rPr>
        <w:t xml:space="preserve"> (weird uncles)</w:t>
      </w:r>
    </w:p>
    <w:p w14:paraId="78C94C9E" w14:textId="0D1D0F6D" w:rsidR="00746BDE" w:rsidRPr="00746BDE" w:rsidRDefault="00746BD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method for inferring the space inherently relies on how the collection of mutants behave over a collection of conditions. How well can we detect the behavior of particular mutants and conditions? That is, is our method only good for inferring the commonalities but not particular behavior, and if so, how can we know that (and which) particular behaviors are not picked up?</w:t>
      </w:r>
    </w:p>
    <w:p w14:paraId="244D9D0F" w14:textId="508EFDDF" w:rsidR="003136F5" w:rsidRDefault="006F1A0B" w:rsidP="008F4A97">
      <w:pPr>
        <w:widowControl w:val="0"/>
        <w:autoSpaceDE w:val="0"/>
        <w:autoSpaceDN w:val="0"/>
        <w:adjustRightInd w:val="0"/>
        <w:spacing w:after="240" w:line="288" w:lineRule="auto"/>
        <w:rPr>
          <w:rFonts w:ascii="Arial" w:hAnsi="Arial" w:cs="Arial"/>
          <w:i/>
          <w:color w:val="000000"/>
          <w:sz w:val="22"/>
          <w:szCs w:val="22"/>
        </w:rPr>
      </w:pPr>
      <w:commentRangeStart w:id="18"/>
      <w:r>
        <w:rPr>
          <w:rFonts w:ascii="Arial" w:hAnsi="Arial" w:cs="Arial"/>
          <w:i/>
          <w:color w:val="000000"/>
          <w:sz w:val="22"/>
          <w:szCs w:val="22"/>
        </w:rPr>
        <w:t xml:space="preserve">Result 4: </w:t>
      </w:r>
      <w:r w:rsidR="00C416F9">
        <w:rPr>
          <w:rFonts w:ascii="Arial" w:hAnsi="Arial" w:cs="Arial"/>
          <w:i/>
          <w:color w:val="000000"/>
          <w:sz w:val="22"/>
          <w:szCs w:val="22"/>
        </w:rPr>
        <w:t>Application to Hillenmeyer data?</w:t>
      </w:r>
      <w:commentRangeEnd w:id="18"/>
      <w:r w:rsidR="00512255">
        <w:rPr>
          <w:rStyle w:val="CommentReference"/>
        </w:rPr>
        <w:commentReference w:id="18"/>
      </w:r>
    </w:p>
    <w:p w14:paraId="0A567E90" w14:textId="77777777" w:rsidR="004B0CE4" w:rsidRDefault="008F4A97"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Discussion</w:t>
      </w:r>
    </w:p>
    <w:p w14:paraId="28030E22" w14:textId="77777777" w:rsidR="001F70EB" w:rsidRDefault="001F70EB" w:rsidP="004B0CE4">
      <w:pPr>
        <w:widowControl w:val="0"/>
        <w:autoSpaceDE w:val="0"/>
        <w:autoSpaceDN w:val="0"/>
        <w:adjustRightInd w:val="0"/>
        <w:ind w:left="480" w:hanging="480"/>
        <w:rPr>
          <w:rFonts w:ascii="Arial" w:hAnsi="Arial" w:cs="Arial"/>
          <w:b/>
          <w:bCs/>
          <w:color w:val="000000"/>
          <w:sz w:val="22"/>
          <w:szCs w:val="22"/>
        </w:rPr>
      </w:pPr>
    </w:p>
    <w:p w14:paraId="28416E5C" w14:textId="5DCDB15C" w:rsidR="00966099" w:rsidRPr="0008570A" w:rsidRDefault="0008570A" w:rsidP="004B0CE4">
      <w:pPr>
        <w:widowControl w:val="0"/>
        <w:autoSpaceDE w:val="0"/>
        <w:autoSpaceDN w:val="0"/>
        <w:adjustRightInd w:val="0"/>
        <w:ind w:left="480" w:hanging="480"/>
        <w:rPr>
          <w:rFonts w:ascii="Arial" w:hAnsi="Arial" w:cs="Arial"/>
          <w:bCs/>
          <w:color w:val="000000"/>
          <w:sz w:val="22"/>
          <w:szCs w:val="22"/>
        </w:rPr>
      </w:pPr>
      <w:r>
        <w:rPr>
          <w:rFonts w:ascii="Arial" w:hAnsi="Arial" w:cs="Arial"/>
          <w:bCs/>
          <w:color w:val="000000"/>
          <w:sz w:val="22"/>
          <w:szCs w:val="22"/>
        </w:rPr>
        <w:t xml:space="preserve">[awesome discussion of </w:t>
      </w:r>
      <w:r w:rsidR="00C867FB">
        <w:rPr>
          <w:rFonts w:ascii="Arial" w:hAnsi="Arial" w:cs="Arial"/>
          <w:bCs/>
          <w:color w:val="000000"/>
          <w:sz w:val="22"/>
          <w:szCs w:val="22"/>
        </w:rPr>
        <w:t xml:space="preserve">this paper </w:t>
      </w:r>
      <w:r>
        <w:rPr>
          <w:rFonts w:ascii="Arial" w:hAnsi="Arial" w:cs="Arial"/>
          <w:bCs/>
          <w:color w:val="000000"/>
          <w:sz w:val="22"/>
          <w:szCs w:val="22"/>
        </w:rPr>
        <w:t>+ upcoming amazing paper on 1bigbatch]</w:t>
      </w:r>
    </w:p>
    <w:p w14:paraId="71339549"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1841E3EE" w14:textId="32D1D011" w:rsidR="001F70EB" w:rsidRDefault="001F70EB"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References</w:t>
      </w:r>
    </w:p>
    <w:p w14:paraId="5FFA36D6" w14:textId="78475DDD" w:rsidR="00C53EE7" w:rsidRPr="00C53EE7" w:rsidRDefault="004B0CE4" w:rsidP="00C53EE7">
      <w:pPr>
        <w:widowControl w:val="0"/>
        <w:autoSpaceDE w:val="0"/>
        <w:autoSpaceDN w:val="0"/>
        <w:adjustRightInd w:val="0"/>
        <w:ind w:left="480" w:hanging="480"/>
        <w:rPr>
          <w:rFonts w:ascii="Arial" w:eastAsia="Times New Roman" w:hAnsi="Arial" w:cs="Arial"/>
          <w:noProof/>
          <w:sz w:val="22"/>
        </w:rPr>
      </w:pPr>
      <w:r>
        <w:rPr>
          <w:rFonts w:ascii="Arial" w:hAnsi="Arial" w:cs="Arial"/>
          <w:b/>
          <w:bCs/>
          <w:color w:val="000000"/>
          <w:sz w:val="22"/>
          <w:szCs w:val="22"/>
        </w:rPr>
        <w:fldChar w:fldCharType="begin" w:fldLock="1"/>
      </w:r>
      <w:r>
        <w:rPr>
          <w:rFonts w:ascii="Arial" w:hAnsi="Arial" w:cs="Arial"/>
          <w:b/>
          <w:bCs/>
          <w:color w:val="000000"/>
          <w:sz w:val="22"/>
          <w:szCs w:val="22"/>
        </w:rPr>
        <w:instrText xml:space="preserve">ADDIN Mendeley Bibliography CSL_BIBLIOGRAPHY </w:instrText>
      </w:r>
      <w:r>
        <w:rPr>
          <w:rFonts w:ascii="Arial" w:hAnsi="Arial" w:cs="Arial"/>
          <w:b/>
          <w:bCs/>
          <w:color w:val="000000"/>
          <w:sz w:val="22"/>
          <w:szCs w:val="22"/>
        </w:rPr>
        <w:fldChar w:fldCharType="separate"/>
      </w:r>
      <w:r w:rsidR="00C53EE7" w:rsidRPr="00C53EE7">
        <w:rPr>
          <w:rFonts w:ascii="Arial" w:eastAsia="Times New Roman" w:hAnsi="Arial" w:cs="Arial"/>
          <w:noProof/>
          <w:sz w:val="22"/>
        </w:rPr>
        <w:t xml:space="preserve">Bataillon, T. &amp; Bailey, S.F., 2014. Effects of new mutations on fitness: Insights from models and data. </w:t>
      </w:r>
      <w:r w:rsidR="00C53EE7" w:rsidRPr="00C53EE7">
        <w:rPr>
          <w:rFonts w:ascii="Arial" w:eastAsia="Times New Roman" w:hAnsi="Arial" w:cs="Arial"/>
          <w:i/>
          <w:iCs/>
          <w:noProof/>
          <w:sz w:val="22"/>
        </w:rPr>
        <w:t>Annals of the New York Academy of Sciences</w:t>
      </w:r>
      <w:r w:rsidR="00C53EE7" w:rsidRPr="00C53EE7">
        <w:rPr>
          <w:rFonts w:ascii="Arial" w:eastAsia="Times New Roman" w:hAnsi="Arial" w:cs="Arial"/>
          <w:noProof/>
          <w:sz w:val="22"/>
        </w:rPr>
        <w:t>, 1320(1), pp.76–92.</w:t>
      </w:r>
    </w:p>
    <w:p w14:paraId="1D16A84E"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Blanquart, F. &amp; Bataillon, T., 2016. Epistasis and the structure of fitness landscapes: Are experimental fitness landscapes compatible with fisher’s geometric model? </w:t>
      </w:r>
      <w:r w:rsidRPr="00C53EE7">
        <w:rPr>
          <w:rFonts w:ascii="Arial" w:eastAsia="Times New Roman" w:hAnsi="Arial" w:cs="Arial"/>
          <w:i/>
          <w:iCs/>
          <w:noProof/>
          <w:sz w:val="22"/>
        </w:rPr>
        <w:t>Genetics</w:t>
      </w:r>
      <w:r w:rsidRPr="00C53EE7">
        <w:rPr>
          <w:rFonts w:ascii="Arial" w:eastAsia="Times New Roman" w:hAnsi="Arial" w:cs="Arial"/>
          <w:noProof/>
          <w:sz w:val="22"/>
        </w:rPr>
        <w:t>, 203(2), pp.847–862.</w:t>
      </w:r>
    </w:p>
    <w:p w14:paraId="094375C8"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lastRenderedPageBreak/>
        <w:t xml:space="preserve">Chou, H.-H. et al., 2011. Diminishing Returns Epistasis Among Beneficial Mutations Decelerates Adaptation. </w:t>
      </w:r>
      <w:r w:rsidRPr="00C53EE7">
        <w:rPr>
          <w:rFonts w:ascii="Arial" w:eastAsia="Times New Roman" w:hAnsi="Arial" w:cs="Arial"/>
          <w:i/>
          <w:iCs/>
          <w:noProof/>
          <w:sz w:val="22"/>
        </w:rPr>
        <w:t>Science</w:t>
      </w:r>
      <w:r w:rsidRPr="00C53EE7">
        <w:rPr>
          <w:rFonts w:ascii="Arial" w:eastAsia="Times New Roman" w:hAnsi="Arial" w:cs="Arial"/>
          <w:noProof/>
          <w:sz w:val="22"/>
        </w:rPr>
        <w:t>, 332(6034), pp.1190–1192. Available at: http://www.ncbi.nlm.nih.gov/pubmed/21636771%0Ahttp://www.pubmedcentral.nih.gov/articlerender.fcgi?artid=PMC3244271%0Ahttp://www.sciencemag.org/cgi/doi/10.1126/science.1203799.</w:t>
      </w:r>
    </w:p>
    <w:p w14:paraId="7C0A2B08"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Fisher, R.A., 1930. </w:t>
      </w:r>
      <w:r w:rsidRPr="00C53EE7">
        <w:rPr>
          <w:rFonts w:ascii="Arial" w:eastAsia="Times New Roman" w:hAnsi="Arial" w:cs="Arial"/>
          <w:i/>
          <w:iCs/>
          <w:noProof/>
          <w:sz w:val="22"/>
        </w:rPr>
        <w:t>The Genetical Theory of Natural Selection</w:t>
      </w:r>
      <w:r w:rsidRPr="00C53EE7">
        <w:rPr>
          <w:rFonts w:ascii="Arial" w:eastAsia="Times New Roman" w:hAnsi="Arial" w:cs="Arial"/>
          <w:noProof/>
          <w:sz w:val="22"/>
        </w:rPr>
        <w:t>, Oxford: Oxford University Press.</w:t>
      </w:r>
    </w:p>
    <w:p w14:paraId="2D21C6A5"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Levy, S.F. et al., 2015. Quantitative evolutionary dynamics using high-resolution lineage tracking. </w:t>
      </w:r>
      <w:r w:rsidRPr="00C53EE7">
        <w:rPr>
          <w:rFonts w:ascii="Arial" w:eastAsia="Times New Roman" w:hAnsi="Arial" w:cs="Arial"/>
          <w:i/>
          <w:iCs/>
          <w:noProof/>
          <w:sz w:val="22"/>
        </w:rPr>
        <w:t>Nature</w:t>
      </w:r>
      <w:r w:rsidRPr="00C53EE7">
        <w:rPr>
          <w:rFonts w:ascii="Arial" w:eastAsia="Times New Roman" w:hAnsi="Arial" w:cs="Arial"/>
          <w:noProof/>
          <w:sz w:val="22"/>
        </w:rPr>
        <w:t>, advance on, pp.1–78. Available at: http://dx.doi.org/10.1038/nature14279.</w:t>
      </w:r>
    </w:p>
    <w:p w14:paraId="03CE81C9"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Li, Y. et al., 2018. Hidden Complexity of Yeast Adaptation under Simple Evolutionary Conditions. </w:t>
      </w:r>
      <w:r w:rsidRPr="00C53EE7">
        <w:rPr>
          <w:rFonts w:ascii="Arial" w:eastAsia="Times New Roman" w:hAnsi="Arial" w:cs="Arial"/>
          <w:i/>
          <w:iCs/>
          <w:noProof/>
          <w:sz w:val="22"/>
        </w:rPr>
        <w:t>Current Biology</w:t>
      </w:r>
      <w:r w:rsidRPr="00C53EE7">
        <w:rPr>
          <w:rFonts w:ascii="Arial" w:eastAsia="Times New Roman" w:hAnsi="Arial" w:cs="Arial"/>
          <w:noProof/>
          <w:sz w:val="22"/>
        </w:rPr>
        <w:t>, 28(4), p.515–525.e6. Available at: https://doi.org/10.1016/j.cub.2018.01.009.</w:t>
      </w:r>
    </w:p>
    <w:p w14:paraId="2455A755"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Lourenço, J.M., Galtier, N. &amp; Glémin, S., 2011. Complexity, Pleiotropy, and the Fitness Effect of Mutations. </w:t>
      </w:r>
      <w:r w:rsidRPr="00C53EE7">
        <w:rPr>
          <w:rFonts w:ascii="Arial" w:eastAsia="Times New Roman" w:hAnsi="Arial" w:cs="Arial"/>
          <w:i/>
          <w:iCs/>
          <w:noProof/>
          <w:sz w:val="22"/>
        </w:rPr>
        <w:t>Evolution</w:t>
      </w:r>
      <w:r w:rsidRPr="00C53EE7">
        <w:rPr>
          <w:rFonts w:ascii="Arial" w:eastAsia="Times New Roman" w:hAnsi="Arial" w:cs="Arial"/>
          <w:noProof/>
          <w:sz w:val="22"/>
        </w:rPr>
        <w:t>, 65(6), pp.1559–1571.</w:t>
      </w:r>
    </w:p>
    <w:p w14:paraId="05011AE9"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Martin, G. &amp; Lenormand, T., 2006. A general multivariate extension of Fisher’s geometrical model and the distribution of mutation fitness effects across species. </w:t>
      </w:r>
      <w:r w:rsidRPr="00C53EE7">
        <w:rPr>
          <w:rFonts w:ascii="Arial" w:eastAsia="Times New Roman" w:hAnsi="Arial" w:cs="Arial"/>
          <w:i/>
          <w:iCs/>
          <w:noProof/>
          <w:sz w:val="22"/>
        </w:rPr>
        <w:t>Evolution; international journal of organic evolution</w:t>
      </w:r>
      <w:r w:rsidRPr="00C53EE7">
        <w:rPr>
          <w:rFonts w:ascii="Arial" w:eastAsia="Times New Roman" w:hAnsi="Arial" w:cs="Arial"/>
          <w:noProof/>
          <w:sz w:val="22"/>
        </w:rPr>
        <w:t>, 60(5), pp.893–907. Available at: http://onlinelibrary.wiley.com/doi/10.1111/j.0014-3820.2006.tb01169.x/abstract.</w:t>
      </w:r>
    </w:p>
    <w:p w14:paraId="16720482"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Owen, A.B. &amp; Perry, P.O., 2009. Bi-cross-validation of the SVD and the nonnegative matrix factorization. </w:t>
      </w:r>
      <w:r w:rsidRPr="00C53EE7">
        <w:rPr>
          <w:rFonts w:ascii="Arial" w:eastAsia="Times New Roman" w:hAnsi="Arial" w:cs="Arial"/>
          <w:i/>
          <w:iCs/>
          <w:noProof/>
          <w:sz w:val="22"/>
        </w:rPr>
        <w:t>Annals of Applied Statistics</w:t>
      </w:r>
      <w:r w:rsidRPr="00C53EE7">
        <w:rPr>
          <w:rFonts w:ascii="Arial" w:eastAsia="Times New Roman" w:hAnsi="Arial" w:cs="Arial"/>
          <w:noProof/>
          <w:sz w:val="22"/>
        </w:rPr>
        <w:t>, 3(2), pp.564–594.</w:t>
      </w:r>
    </w:p>
    <w:p w14:paraId="2F23BAFB"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Poon, A. &amp; Otto, S.P., 2000. Compensating for our load of mutations: freezing the meltdown of small populations. </w:t>
      </w:r>
      <w:r w:rsidRPr="00C53EE7">
        <w:rPr>
          <w:rFonts w:ascii="Arial" w:eastAsia="Times New Roman" w:hAnsi="Arial" w:cs="Arial"/>
          <w:i/>
          <w:iCs/>
          <w:noProof/>
          <w:sz w:val="22"/>
        </w:rPr>
        <w:t>Evolution</w:t>
      </w:r>
      <w:r w:rsidRPr="00C53EE7">
        <w:rPr>
          <w:rFonts w:ascii="Arial" w:eastAsia="Times New Roman" w:hAnsi="Arial" w:cs="Arial"/>
          <w:noProof/>
          <w:sz w:val="22"/>
        </w:rPr>
        <w:t>, 54(5), pp.1467–1479.</w:t>
      </w:r>
    </w:p>
    <w:p w14:paraId="08C8FB2A"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Tenaillon, O. et al., 2007. Quantifying organismal complexity using a population genetic approach. </w:t>
      </w:r>
      <w:r w:rsidRPr="00C53EE7">
        <w:rPr>
          <w:rFonts w:ascii="Arial" w:eastAsia="Times New Roman" w:hAnsi="Arial" w:cs="Arial"/>
          <w:i/>
          <w:iCs/>
          <w:noProof/>
          <w:sz w:val="22"/>
        </w:rPr>
        <w:t>PLoS ONE</w:t>
      </w:r>
      <w:r w:rsidRPr="00C53EE7">
        <w:rPr>
          <w:rFonts w:ascii="Arial" w:eastAsia="Times New Roman" w:hAnsi="Arial" w:cs="Arial"/>
          <w:noProof/>
          <w:sz w:val="22"/>
        </w:rPr>
        <w:t>, 2(2).</w:t>
      </w:r>
    </w:p>
    <w:p w14:paraId="215834C7"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Venkataram, S. et al., 2016. Development of a Comprehensive Genotype-to-Fitness Map of Adaptation-Driving Mutations in Yeast. </w:t>
      </w:r>
      <w:r w:rsidRPr="00C53EE7">
        <w:rPr>
          <w:rFonts w:ascii="Arial" w:eastAsia="Times New Roman" w:hAnsi="Arial" w:cs="Arial"/>
          <w:i/>
          <w:iCs/>
          <w:noProof/>
          <w:sz w:val="22"/>
        </w:rPr>
        <w:t>Cell</w:t>
      </w:r>
      <w:r w:rsidRPr="00C53EE7">
        <w:rPr>
          <w:rFonts w:ascii="Arial" w:eastAsia="Times New Roman" w:hAnsi="Arial" w:cs="Arial"/>
          <w:noProof/>
          <w:sz w:val="22"/>
        </w:rPr>
        <w:t>, 166(6), p.1585–1596.e22.</w:t>
      </w:r>
    </w:p>
    <w:p w14:paraId="4FED8AD0"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de Visser, J.A.G.M. et al., 1999. Diminishing returns from mutation rate supply in asexual populations. </w:t>
      </w:r>
      <w:r w:rsidRPr="00C53EE7">
        <w:rPr>
          <w:rFonts w:ascii="Arial" w:eastAsia="Times New Roman" w:hAnsi="Arial" w:cs="Arial"/>
          <w:i/>
          <w:iCs/>
          <w:noProof/>
          <w:sz w:val="22"/>
        </w:rPr>
        <w:t>Science</w:t>
      </w:r>
      <w:r w:rsidRPr="00C53EE7">
        <w:rPr>
          <w:rFonts w:ascii="Arial" w:eastAsia="Times New Roman" w:hAnsi="Arial" w:cs="Arial"/>
          <w:noProof/>
          <w:sz w:val="22"/>
        </w:rPr>
        <w:t>, 283(January), pp.404–407.</w:t>
      </w:r>
    </w:p>
    <w:p w14:paraId="66F32334"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Weinreich, D.M. &amp; Knies, J.L., 2013. Fisher’s Geometric Model Of Adaptation Meets The Functional Synthesis: Data On Pairwise Epistasis For Fitness Yields Insights Into The Shape And Size Of Phenotype Space. </w:t>
      </w:r>
      <w:r w:rsidRPr="00C53EE7">
        <w:rPr>
          <w:rFonts w:ascii="Arial" w:eastAsia="Times New Roman" w:hAnsi="Arial" w:cs="Arial"/>
          <w:i/>
          <w:iCs/>
          <w:noProof/>
          <w:sz w:val="22"/>
        </w:rPr>
        <w:t>Evolution</w:t>
      </w:r>
      <w:r w:rsidRPr="00C53EE7">
        <w:rPr>
          <w:rFonts w:ascii="Arial" w:eastAsia="Times New Roman" w:hAnsi="Arial" w:cs="Arial"/>
          <w:noProof/>
          <w:sz w:val="22"/>
        </w:rPr>
        <w:t>, 67(10), pp.2957–2972.</w:t>
      </w:r>
    </w:p>
    <w:p w14:paraId="189A7356" w14:textId="77777777" w:rsidR="00C53EE7" w:rsidRPr="00C53EE7" w:rsidRDefault="00C53EE7" w:rsidP="00C53EE7">
      <w:pPr>
        <w:widowControl w:val="0"/>
        <w:autoSpaceDE w:val="0"/>
        <w:autoSpaceDN w:val="0"/>
        <w:adjustRightInd w:val="0"/>
        <w:ind w:left="480" w:hanging="480"/>
        <w:rPr>
          <w:rFonts w:ascii="Arial" w:hAnsi="Arial" w:cs="Arial"/>
          <w:noProof/>
          <w:sz w:val="22"/>
        </w:rPr>
      </w:pPr>
      <w:r w:rsidRPr="00C53EE7">
        <w:rPr>
          <w:rFonts w:ascii="Arial" w:eastAsia="Times New Roman" w:hAnsi="Arial" w:cs="Arial"/>
          <w:noProof/>
          <w:sz w:val="22"/>
        </w:rPr>
        <w:t xml:space="preserve">Wiser, M.J., Ribeck, N. &amp; Lenski, R.E., 2013. Long-Term Dynamics of Adaptation in Asexual Populations. </w:t>
      </w:r>
      <w:r w:rsidRPr="00C53EE7">
        <w:rPr>
          <w:rFonts w:ascii="Arial" w:eastAsia="Times New Roman" w:hAnsi="Arial" w:cs="Arial"/>
          <w:i/>
          <w:iCs/>
          <w:noProof/>
          <w:sz w:val="22"/>
        </w:rPr>
        <w:t>Science</w:t>
      </w:r>
      <w:r w:rsidRPr="00C53EE7">
        <w:rPr>
          <w:rFonts w:ascii="Arial" w:eastAsia="Times New Roman" w:hAnsi="Arial" w:cs="Arial"/>
          <w:noProof/>
          <w:sz w:val="22"/>
        </w:rPr>
        <w:t>, 342(6164), pp.1364–1367.</w:t>
      </w:r>
    </w:p>
    <w:p w14:paraId="158991CE" w14:textId="57BA9746" w:rsidR="00505574" w:rsidRPr="00505574" w:rsidRDefault="004B0CE4" w:rsidP="00C53EE7">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fldChar w:fldCharType="end"/>
      </w:r>
    </w:p>
    <w:p w14:paraId="1FA716E8" w14:textId="77777777" w:rsidR="00505574" w:rsidRDefault="00505574" w:rsidP="00505574">
      <w:pPr>
        <w:widowControl w:val="0"/>
        <w:autoSpaceDE w:val="0"/>
        <w:autoSpaceDN w:val="0"/>
        <w:adjustRightInd w:val="0"/>
        <w:rPr>
          <w:rFonts w:ascii="Arial" w:hAnsi="Arial" w:cs="Arial"/>
          <w:sz w:val="22"/>
          <w:szCs w:val="22"/>
        </w:rPr>
      </w:pPr>
    </w:p>
    <w:p w14:paraId="4984D8B9" w14:textId="77777777" w:rsidR="00512255" w:rsidRPr="00165B69"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d>
                                <m:dPr>
                                  <m:ctrlPr>
                                    <w:rPr>
                                      <w:rFonts w:ascii="Cambria Math" w:hAnsi="Cambria Math" w:cs="Arial"/>
                                      <w:i/>
                                      <w:color w:val="000000"/>
                                      <w:sz w:val="22"/>
                                      <w:szCs w:val="22"/>
                                    </w:rPr>
                                  </m:ctrlPr>
                                </m:dPr>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r>
                                            <w:rPr>
                                              <w:rFonts w:ascii="Cambria Math" w:hAnsi="Cambria Math" w:cs="Arial"/>
                                              <w:color w:val="000000"/>
                                              <w:sz w:val="22"/>
                                              <w:szCs w:val="22"/>
                                            </w:rPr>
                                            <m:t>a-</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1k</m:t>
                                              </m:r>
                                            </m:sub>
                                          </m:sSub>
                                        </m:e>
                                      </m:d>
                                    </m:e>
                                    <m:sup>
                                      <m:r>
                                        <w:rPr>
                                          <w:rFonts w:ascii="Cambria Math" w:hAnsi="Cambria Math" w:cs="Arial"/>
                                          <w:color w:val="000000"/>
                                          <w:sz w:val="22"/>
                                          <w:szCs w:val="22"/>
                                        </w:rPr>
                                        <m:t>2</m:t>
                                      </m:r>
                                    </m:sup>
                                  </m:sSup>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i=2</m:t>
                                      </m:r>
                                    </m:sub>
                                    <m:sup>
                                      <m:r>
                                        <w:rPr>
                                          <w:rFonts w:ascii="Cambria Math" w:hAnsi="Cambria Math" w:cs="Arial"/>
                                          <w:color w:val="000000"/>
                                          <w:sz w:val="22"/>
                                          <w:szCs w:val="22"/>
                                        </w:rPr>
                                        <m:t>D</m:t>
                                      </m:r>
                                    </m:sup>
                                    <m:e>
                                      <m:sSubSup>
                                        <m:sSubSupPr>
                                          <m:ctrlPr>
                                            <w:rPr>
                                              <w:rFonts w:ascii="Cambria Math" w:hAnsi="Cambria Math" w:cs="Arial"/>
                                              <w:i/>
                                              <w:color w:val="000000"/>
                                              <w:sz w:val="22"/>
                                              <w:szCs w:val="22"/>
                                            </w:rPr>
                                          </m:ctrlPr>
                                        </m:sSubSupPr>
                                        <m:e>
                                          <m:r>
                                            <w:rPr>
                                              <w:rFonts w:ascii="Cambria Math" w:hAnsi="Cambria Math" w:cs="Arial"/>
                                              <w:color w:val="000000"/>
                                              <w:sz w:val="22"/>
                                              <w:szCs w:val="22"/>
                                            </w:rPr>
                                            <m:t>o</m:t>
                                          </m:r>
                                        </m:e>
                                        <m:sub>
                                          <m:r>
                                            <w:rPr>
                                              <w:rFonts w:ascii="Cambria Math" w:hAnsi="Cambria Math" w:cs="Arial"/>
                                              <w:color w:val="000000"/>
                                              <w:sz w:val="22"/>
                                              <w:szCs w:val="22"/>
                                            </w:rPr>
                                            <m:t>ik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e>
                                  </m:nary>
                                </m:e>
                              </m:d>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087AFE63" w14:textId="77777777" w:rsidR="00512255" w:rsidRPr="00417E5E"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44D831E6" w14:textId="77777777" w:rsidR="00D06190" w:rsidRPr="00C62197" w:rsidRDefault="00D06190" w:rsidP="00505574">
      <w:pPr>
        <w:widowControl w:val="0"/>
        <w:autoSpaceDE w:val="0"/>
        <w:autoSpaceDN w:val="0"/>
        <w:adjustRightInd w:val="0"/>
        <w:rPr>
          <w:rFonts w:ascii="Arial" w:hAnsi="Arial" w:cs="Arial"/>
          <w:sz w:val="22"/>
          <w:szCs w:val="22"/>
        </w:rPr>
      </w:pPr>
    </w:p>
    <w:sectPr w:rsidR="00D06190" w:rsidRPr="00C62197"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nt Kinsler" w:date="2018-08-01T14:20:00Z" w:initials="GK">
    <w:p w14:paraId="3E581C6B" w14:textId="6041E9F9" w:rsidR="00A76242" w:rsidRDefault="00A76242">
      <w:pPr>
        <w:pStyle w:val="CommentText"/>
      </w:pPr>
      <w:r>
        <w:rPr>
          <w:rStyle w:val="CommentReference"/>
        </w:rPr>
        <w:annotationRef/>
      </w:r>
      <w:r>
        <w:t>Do we need to develop new language to distinguish between things that can be measured “trait/phenotype” and the phenotypes that matter/are important to fitness (fitness-relevant phenotype)?</w:t>
      </w:r>
    </w:p>
  </w:comment>
  <w:comment w:id="1" w:author="Grant Kinsler" w:date="2018-07-31T11:35:00Z" w:initials="GK">
    <w:p w14:paraId="51E2E798" w14:textId="2FFE71D3" w:rsidR="00A76242" w:rsidRDefault="00A76242">
      <w:pPr>
        <w:pStyle w:val="CommentText"/>
      </w:pPr>
      <w:r>
        <w:rPr>
          <w:rStyle w:val="CommentReference"/>
        </w:rPr>
        <w:annotationRef/>
      </w:r>
      <w:r>
        <w:t xml:space="preserve">Is this a method for “inferring dimensionality” or “identifying phenotypes relevant to fitness”? We can’t really do the latter yet (or at least haven’t shown we yield “meaningful” phenotypes) </w:t>
      </w:r>
    </w:p>
  </w:comment>
  <w:comment w:id="2" w:author="Grant Kinsler" w:date="2018-07-31T15:23:00Z" w:initials="GK">
    <w:p w14:paraId="7783CE11" w14:textId="7380EA1D" w:rsidR="00A76242" w:rsidRPr="00206290" w:rsidRDefault="00A76242">
      <w:pPr>
        <w:pStyle w:val="CommentText"/>
      </w:pPr>
      <w:r>
        <w:rPr>
          <w:rStyle w:val="CommentReference"/>
        </w:rPr>
        <w:annotationRef/>
      </w:r>
      <w:r>
        <w:t xml:space="preserve">Qtl mapping, sticklebacks, shaven baby, (probably some plant, c. elegans stuff) etc. </w:t>
      </w:r>
      <w:r>
        <w:rPr>
          <w:i/>
        </w:rPr>
        <w:t xml:space="preserve">all </w:t>
      </w:r>
      <w:r>
        <w:t xml:space="preserve">involve this question of what phenotypes are important </w:t>
      </w:r>
    </w:p>
  </w:comment>
  <w:comment w:id="3" w:author="Grant Kinsler" w:date="2018-08-01T14:36:00Z" w:initials="GK">
    <w:p w14:paraId="18800D29" w14:textId="0EEFB066" w:rsidR="00090EC8" w:rsidRDefault="00090EC8">
      <w:pPr>
        <w:pStyle w:val="CommentText"/>
      </w:pPr>
      <w:r>
        <w:rPr>
          <w:rStyle w:val="CommentReference"/>
        </w:rPr>
        <w:annotationRef/>
      </w:r>
      <w:r>
        <w:t>Maybe this paragraph goes better after all the FGM stuff?</w:t>
      </w:r>
    </w:p>
  </w:comment>
  <w:comment w:id="4" w:author="Grant Kinsler" w:date="2018-08-01T14:35:00Z" w:initials="GK">
    <w:p w14:paraId="51543C01" w14:textId="166E1749" w:rsidR="00090EC8" w:rsidRDefault="00090EC8">
      <w:pPr>
        <w:pStyle w:val="CommentText"/>
      </w:pPr>
      <w:r>
        <w:rPr>
          <w:rStyle w:val="CommentReference"/>
        </w:rPr>
        <w:annotationRef/>
      </w:r>
      <w:r>
        <w:t>Example? Maybe include an example throughout the paragraph.</w:t>
      </w:r>
    </w:p>
  </w:comment>
  <w:comment w:id="6" w:author="Grant Kinsler" w:date="2018-07-26T10:58:00Z" w:initials="GK">
    <w:p w14:paraId="7C3213F1" w14:textId="79C342FB" w:rsidR="00A76242" w:rsidRDefault="00A76242">
      <w:pPr>
        <w:pStyle w:val="CommentText"/>
      </w:pPr>
      <w:r>
        <w:rPr>
          <w:rStyle w:val="CommentReference"/>
        </w:rPr>
        <w:annotationRef/>
      </w:r>
      <w:r>
        <w:t xml:space="preserve">Additivity of phenotypes – any evidence that this is unrealistic (obviously in extreme of deletion of recessive trait) – any generic features relating this to dominance? Christian Huber?  </w:t>
      </w:r>
    </w:p>
  </w:comment>
  <w:comment w:id="7" w:author="Grant Kinsler" w:date="2018-07-20T17:08:00Z" w:initials="GK">
    <w:p w14:paraId="0064BBBE" w14:textId="20A71B99" w:rsidR="00A76242" w:rsidRDefault="00A76242">
      <w:pPr>
        <w:pStyle w:val="CommentText"/>
      </w:pPr>
      <w:r>
        <w:rPr>
          <w:rStyle w:val="CommentReference"/>
        </w:rPr>
        <w:annotationRef/>
      </w:r>
      <w:r>
        <w:t xml:space="preserve">Punchier end of introduction paragraph – “we introduce a framework/method…” &lt;- what is it that we’re actually introducing? A conceptual framework and a method? </w:t>
      </w:r>
    </w:p>
  </w:comment>
  <w:comment w:id="8" w:author="Grant Kinsler" w:date="2018-07-31T14:41:00Z" w:initials="GK">
    <w:p w14:paraId="3BB69E11" w14:textId="5B70E913" w:rsidR="00A76242" w:rsidRDefault="00A76242">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9" w:author="Grant Kinsler" w:date="2018-07-30T16:58:00Z" w:initials="GK">
    <w:p w14:paraId="57875451" w14:textId="4FB1DB40" w:rsidR="00A76242" w:rsidRDefault="00A76242">
      <w:pPr>
        <w:pStyle w:val="CommentText"/>
      </w:pPr>
      <w:r>
        <w:rPr>
          <w:rStyle w:val="CommentReference"/>
        </w:rPr>
        <w:annotationRef/>
      </w:r>
      <w:r>
        <w:t xml:space="preserve">Check this – I think it’s not generally true, but would be a nice result if it were. (check the FGM in many conditions paper Martin + Lenormand 2015) – check assumptions in simulation? </w:t>
      </w:r>
    </w:p>
  </w:comment>
  <w:comment w:id="10" w:author="Grant Kinsler" w:date="2018-07-31T11:33:00Z" w:initials="GK">
    <w:p w14:paraId="4E58A115" w14:textId="1AC07793" w:rsidR="00A76242" w:rsidRDefault="00A76242">
      <w:pPr>
        <w:pStyle w:val="CommentText"/>
      </w:pPr>
      <w:r>
        <w:rPr>
          <w:rStyle w:val="CommentReference"/>
        </w:rPr>
        <w:annotationRef/>
      </w:r>
      <w:r>
        <w:t>We also use it because of the property derived in blog post – exp(squared distance) is the only function such that relative fitness in an environment depends solely on phenotypes that differ between that ancestor and the mutants</w:t>
      </w:r>
    </w:p>
  </w:comment>
  <w:comment w:id="11" w:author="Grant Kinsler" w:date="2018-07-24T15:10:00Z" w:initials="GK">
    <w:p w14:paraId="306E83D0" w14:textId="765EA820" w:rsidR="00A76242" w:rsidRDefault="00A76242">
      <w:pPr>
        <w:pStyle w:val="CommentText"/>
      </w:pPr>
      <w:r>
        <w:rPr>
          <w:rStyle w:val="CommentReference"/>
        </w:rPr>
        <w:annotationRef/>
      </w:r>
      <w:r>
        <w:t>Comparison to SVD somewhere in here</w:t>
      </w:r>
    </w:p>
  </w:comment>
  <w:comment w:id="12" w:author="Grant Kinsler" w:date="2018-07-26T16:14:00Z" w:initials="GK">
    <w:p w14:paraId="2E518FD6" w14:textId="0EAE4803" w:rsidR="00A76242" w:rsidRDefault="00A76242">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13" w:author="Grant Kinsler" w:date="2018-07-20T16:52:00Z" w:initials="GK">
    <w:p w14:paraId="02746779" w14:textId="77777777" w:rsidR="00A76242" w:rsidRDefault="00A76242">
      <w:pPr>
        <w:pStyle w:val="CommentText"/>
      </w:pPr>
      <w:r>
        <w:rPr>
          <w:rStyle w:val="CommentReference"/>
        </w:rPr>
        <w:annotationRef/>
      </w:r>
      <w:r>
        <w:t xml:space="preserve">Need to include a comparison to other possible methods (SVD). Perhaps a brief overview of the technical differences and also differences in how these various metrics capture behavior (i.e. predict fitness). </w:t>
      </w:r>
    </w:p>
    <w:p w14:paraId="3EA3DC68" w14:textId="77777777" w:rsidR="00A76242" w:rsidRDefault="00A76242">
      <w:pPr>
        <w:pStyle w:val="CommentText"/>
      </w:pPr>
    </w:p>
    <w:p w14:paraId="1FA3AA6B" w14:textId="0DAAE75E" w:rsidR="00A76242" w:rsidRDefault="00A76242">
      <w:pPr>
        <w:pStyle w:val="CommentText"/>
      </w:pPr>
      <w:r>
        <w:t xml:space="preserve">Could be somewhat of an unfair comparison because we simulate fitness according to FGM, so of course we do better. </w:t>
      </w:r>
    </w:p>
    <w:p w14:paraId="7A9A548F" w14:textId="77777777" w:rsidR="00A76242" w:rsidRDefault="00A76242">
      <w:pPr>
        <w:pStyle w:val="CommentText"/>
      </w:pPr>
    </w:p>
    <w:p w14:paraId="707AA689" w14:textId="1F5A3FF5" w:rsidR="00A76242" w:rsidRDefault="00A76242">
      <w:pPr>
        <w:pStyle w:val="CommentText"/>
      </w:pPr>
      <w:r>
        <w:t>What’s a better way to simulate? Maybe we don’t need to compare to SVD? (But this is a natural question for readers) -  need to think about this.</w:t>
      </w:r>
    </w:p>
  </w:comment>
  <w:comment w:id="14" w:author="Grant Kinsler" w:date="2018-07-20T16:55:00Z" w:initials="GK">
    <w:p w14:paraId="386F06D2" w14:textId="515DD579" w:rsidR="00A76242" w:rsidRDefault="00A76242">
      <w:pPr>
        <w:pStyle w:val="CommentText"/>
      </w:pPr>
      <w:r>
        <w:rPr>
          <w:rStyle w:val="CommentReference"/>
        </w:rPr>
        <w:annotationRef/>
      </w:r>
      <w:r>
        <w:t>B is a bad figure – need a better way to visualize (1) correct fit and (2) how good that fit is.  Maybe a comparison of our method and SVD/other methods?</w:t>
      </w:r>
    </w:p>
  </w:comment>
  <w:comment w:id="15" w:author="Grant Kinsler" w:date="2018-07-20T16:56:00Z" w:initials="GK">
    <w:p w14:paraId="30B18240" w14:textId="01C3096E" w:rsidR="00A76242" w:rsidRPr="00D03ABE" w:rsidRDefault="00A76242">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16" w:author="Grant Kinsler" w:date="2018-07-31T14:32:00Z" w:initials="GK">
    <w:p w14:paraId="6A338D46" w14:textId="6B063652" w:rsidR="00A76242" w:rsidRDefault="00A76242">
      <w:pPr>
        <w:pStyle w:val="CommentText"/>
      </w:pPr>
      <w:r>
        <w:rPr>
          <w:rStyle w:val="CommentReference"/>
        </w:rPr>
        <w:annotationRef/>
      </w:r>
      <w:r>
        <w:t>Svd comparison is somewhere in here.</w:t>
      </w:r>
    </w:p>
  </w:comment>
  <w:comment w:id="17" w:author="Grant Kinsler" w:date="2018-07-31T14:20:00Z" w:initials="GK">
    <w:p w14:paraId="0B7A7696" w14:textId="21EE3769" w:rsidR="00A76242" w:rsidRDefault="00A76242">
      <w:pPr>
        <w:pStyle w:val="CommentText"/>
      </w:pPr>
      <w:r>
        <w:rPr>
          <w:rStyle w:val="CommentReference"/>
        </w:rPr>
        <w:annotationRef/>
      </w:r>
      <w:r>
        <w:t>Need a measure of dispersion. What’s the precision with which we can detect particular levels of dispersion? How much error can we tolerate? Our current simulated data has too much error to detect anything. (to do later)</w:t>
      </w:r>
    </w:p>
  </w:comment>
  <w:comment w:id="18" w:author="Grant Kinsler" w:date="2018-07-25T17:31:00Z" w:initials="GK">
    <w:p w14:paraId="372ABF1E" w14:textId="77777777" w:rsidR="00A76242" w:rsidRDefault="00A76242">
      <w:pPr>
        <w:pStyle w:val="CommentText"/>
      </w:pPr>
      <w:r>
        <w:rPr>
          <w:rStyle w:val="CommentReference"/>
        </w:rPr>
        <w:annotationRef/>
      </w:r>
      <w:r>
        <w:t>If we include this, should we be referring to “dimensionality of adaptation” throughout? Or should we instead present this first paper as “a new method to infer dimensionality” with the second 1BB paper specifically addressing the dimensionality question? -&gt; is this a method for “inferring dimensionality” or “inferring dimensionality of adaptation?”</w:t>
      </w:r>
    </w:p>
    <w:p w14:paraId="7DF2C147" w14:textId="77777777" w:rsidR="00A76242" w:rsidRDefault="00A76242">
      <w:pPr>
        <w:pStyle w:val="CommentText"/>
      </w:pPr>
    </w:p>
    <w:p w14:paraId="42387954" w14:textId="4D9789A4" w:rsidR="00A76242" w:rsidRDefault="00A76242">
      <w:pPr>
        <w:pStyle w:val="CommentText"/>
      </w:pPr>
      <w:r>
        <w:t xml:space="preserve">Additionally, is this a method for detecting “dimensionality” or a method for detecting “fitness-relevant phenotypes”? How do we get at the phenotypes that people know and care about?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81C6B" w15:done="0"/>
  <w15:commentEx w15:paraId="51E2E798" w15:done="0"/>
  <w15:commentEx w15:paraId="7783CE11" w15:done="0"/>
  <w15:commentEx w15:paraId="18800D29" w15:done="0"/>
  <w15:commentEx w15:paraId="51543C01" w15:done="0"/>
  <w15:commentEx w15:paraId="7C3213F1" w15:done="0"/>
  <w15:commentEx w15:paraId="0064BBBE" w15:done="0"/>
  <w15:commentEx w15:paraId="3BB69E11" w15:done="0"/>
  <w15:commentEx w15:paraId="57875451" w15:done="0"/>
  <w15:commentEx w15:paraId="4E58A115" w15:done="0"/>
  <w15:commentEx w15:paraId="306E83D0" w15:done="0"/>
  <w15:commentEx w15:paraId="2E518FD6" w15:done="0"/>
  <w15:commentEx w15:paraId="707AA689" w15:done="0"/>
  <w15:commentEx w15:paraId="386F06D2" w15:done="0"/>
  <w15:commentEx w15:paraId="30B18240" w15:done="0"/>
  <w15:commentEx w15:paraId="6A338D46" w15:done="0"/>
  <w15:commentEx w15:paraId="0B7A7696" w15:done="0"/>
  <w15:commentEx w15:paraId="423879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9B9DE" w14:textId="77777777" w:rsidR="00D94478" w:rsidRDefault="00D94478" w:rsidP="00514E6A">
      <w:r>
        <w:separator/>
      </w:r>
    </w:p>
  </w:endnote>
  <w:endnote w:type="continuationSeparator" w:id="0">
    <w:p w14:paraId="38BF41FE" w14:textId="77777777" w:rsidR="00D94478" w:rsidRDefault="00D94478" w:rsidP="005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31356" w14:textId="77777777" w:rsidR="00D94478" w:rsidRDefault="00D94478" w:rsidP="00514E6A">
      <w:r>
        <w:separator/>
      </w:r>
    </w:p>
  </w:footnote>
  <w:footnote w:type="continuationSeparator" w:id="0">
    <w:p w14:paraId="44D1E7AF" w14:textId="77777777" w:rsidR="00D94478" w:rsidRDefault="00D94478" w:rsidP="00514E6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7"/>
    <w:rsid w:val="00015810"/>
    <w:rsid w:val="000231B9"/>
    <w:rsid w:val="00043F66"/>
    <w:rsid w:val="0007388B"/>
    <w:rsid w:val="00084EBA"/>
    <w:rsid w:val="0008570A"/>
    <w:rsid w:val="00090EC8"/>
    <w:rsid w:val="000A6CBC"/>
    <w:rsid w:val="000B4D81"/>
    <w:rsid w:val="000B751A"/>
    <w:rsid w:val="00133BDB"/>
    <w:rsid w:val="00165B69"/>
    <w:rsid w:val="001C4C4D"/>
    <w:rsid w:val="001F41FD"/>
    <w:rsid w:val="001F68DF"/>
    <w:rsid w:val="001F70EB"/>
    <w:rsid w:val="00206290"/>
    <w:rsid w:val="002D14C9"/>
    <w:rsid w:val="002D41CE"/>
    <w:rsid w:val="003136F5"/>
    <w:rsid w:val="0035478A"/>
    <w:rsid w:val="00382C1E"/>
    <w:rsid w:val="00394AAD"/>
    <w:rsid w:val="003E14F4"/>
    <w:rsid w:val="003F1DFD"/>
    <w:rsid w:val="004016B4"/>
    <w:rsid w:val="00417E5E"/>
    <w:rsid w:val="00457D57"/>
    <w:rsid w:val="00487106"/>
    <w:rsid w:val="004A5E3E"/>
    <w:rsid w:val="004B0CE4"/>
    <w:rsid w:val="004B55C3"/>
    <w:rsid w:val="004B5991"/>
    <w:rsid w:val="00505574"/>
    <w:rsid w:val="00511137"/>
    <w:rsid w:val="00512255"/>
    <w:rsid w:val="00514E6A"/>
    <w:rsid w:val="005314F6"/>
    <w:rsid w:val="00567F8F"/>
    <w:rsid w:val="00584F02"/>
    <w:rsid w:val="005A6EF7"/>
    <w:rsid w:val="005F4F25"/>
    <w:rsid w:val="00606E4A"/>
    <w:rsid w:val="00607CEB"/>
    <w:rsid w:val="0062520A"/>
    <w:rsid w:val="0063577B"/>
    <w:rsid w:val="0063774E"/>
    <w:rsid w:val="006559E7"/>
    <w:rsid w:val="00661110"/>
    <w:rsid w:val="00664CB3"/>
    <w:rsid w:val="006821EB"/>
    <w:rsid w:val="006922EB"/>
    <w:rsid w:val="006D3205"/>
    <w:rsid w:val="006E6CE4"/>
    <w:rsid w:val="006F1A0B"/>
    <w:rsid w:val="0073735C"/>
    <w:rsid w:val="00746BDE"/>
    <w:rsid w:val="007A5EDE"/>
    <w:rsid w:val="007C52AB"/>
    <w:rsid w:val="007D48D4"/>
    <w:rsid w:val="007E763A"/>
    <w:rsid w:val="00810FAF"/>
    <w:rsid w:val="00811D75"/>
    <w:rsid w:val="00815BD3"/>
    <w:rsid w:val="008527D2"/>
    <w:rsid w:val="008D20D9"/>
    <w:rsid w:val="008D6834"/>
    <w:rsid w:val="008E4F25"/>
    <w:rsid w:val="008F4A97"/>
    <w:rsid w:val="00931644"/>
    <w:rsid w:val="00944390"/>
    <w:rsid w:val="00966099"/>
    <w:rsid w:val="009B3EC5"/>
    <w:rsid w:val="009C3512"/>
    <w:rsid w:val="009C72AD"/>
    <w:rsid w:val="009D3818"/>
    <w:rsid w:val="009F1F02"/>
    <w:rsid w:val="00A41AC8"/>
    <w:rsid w:val="00A50A6D"/>
    <w:rsid w:val="00A61656"/>
    <w:rsid w:val="00A67A0A"/>
    <w:rsid w:val="00A76242"/>
    <w:rsid w:val="00AB1A44"/>
    <w:rsid w:val="00AB3BC2"/>
    <w:rsid w:val="00AE5D6D"/>
    <w:rsid w:val="00B03CA8"/>
    <w:rsid w:val="00B40295"/>
    <w:rsid w:val="00BB0BF3"/>
    <w:rsid w:val="00C416F9"/>
    <w:rsid w:val="00C43E38"/>
    <w:rsid w:val="00C53EE7"/>
    <w:rsid w:val="00C62197"/>
    <w:rsid w:val="00C867FB"/>
    <w:rsid w:val="00CB4875"/>
    <w:rsid w:val="00CC0C0C"/>
    <w:rsid w:val="00D03ABE"/>
    <w:rsid w:val="00D06190"/>
    <w:rsid w:val="00D61852"/>
    <w:rsid w:val="00D94478"/>
    <w:rsid w:val="00D9762B"/>
    <w:rsid w:val="00DC20FE"/>
    <w:rsid w:val="00E111CB"/>
    <w:rsid w:val="00E42868"/>
    <w:rsid w:val="00E53292"/>
    <w:rsid w:val="00E571E0"/>
    <w:rsid w:val="00E93051"/>
    <w:rsid w:val="00E9642C"/>
    <w:rsid w:val="00EA5969"/>
    <w:rsid w:val="00EF09D4"/>
    <w:rsid w:val="00F33DD9"/>
    <w:rsid w:val="00F372FF"/>
    <w:rsid w:val="00F55574"/>
    <w:rsid w:val="00F564DB"/>
    <w:rsid w:val="00F975AB"/>
    <w:rsid w:val="00FA32C8"/>
    <w:rsid w:val="00FA680D"/>
    <w:rsid w:val="00FC1900"/>
    <w:rsid w:val="00FD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6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FE"/>
    <w:rPr>
      <w:color w:val="808080"/>
    </w:rPr>
  </w:style>
  <w:style w:type="character" w:styleId="CommentReference">
    <w:name w:val="annotation reference"/>
    <w:basedOn w:val="DefaultParagraphFont"/>
    <w:uiPriority w:val="99"/>
    <w:semiHidden/>
    <w:unhideWhenUsed/>
    <w:rsid w:val="00D03ABE"/>
    <w:rPr>
      <w:sz w:val="18"/>
      <w:szCs w:val="18"/>
    </w:rPr>
  </w:style>
  <w:style w:type="paragraph" w:styleId="CommentText">
    <w:name w:val="annotation text"/>
    <w:basedOn w:val="Normal"/>
    <w:link w:val="CommentTextChar"/>
    <w:uiPriority w:val="99"/>
    <w:semiHidden/>
    <w:unhideWhenUsed/>
    <w:rsid w:val="00D03ABE"/>
  </w:style>
  <w:style w:type="character" w:customStyle="1" w:styleId="CommentTextChar">
    <w:name w:val="Comment Text Char"/>
    <w:basedOn w:val="DefaultParagraphFont"/>
    <w:link w:val="CommentText"/>
    <w:uiPriority w:val="99"/>
    <w:semiHidden/>
    <w:rsid w:val="00D03ABE"/>
  </w:style>
  <w:style w:type="paragraph" w:styleId="CommentSubject">
    <w:name w:val="annotation subject"/>
    <w:basedOn w:val="CommentText"/>
    <w:next w:val="CommentText"/>
    <w:link w:val="CommentSubjectChar"/>
    <w:uiPriority w:val="99"/>
    <w:semiHidden/>
    <w:unhideWhenUsed/>
    <w:rsid w:val="00D03ABE"/>
    <w:rPr>
      <w:b/>
      <w:bCs/>
      <w:sz w:val="20"/>
      <w:szCs w:val="20"/>
    </w:rPr>
  </w:style>
  <w:style w:type="character" w:customStyle="1" w:styleId="CommentSubjectChar">
    <w:name w:val="Comment Subject Char"/>
    <w:basedOn w:val="CommentTextChar"/>
    <w:link w:val="CommentSubject"/>
    <w:uiPriority w:val="99"/>
    <w:semiHidden/>
    <w:rsid w:val="00D03ABE"/>
    <w:rPr>
      <w:b/>
      <w:bCs/>
      <w:sz w:val="20"/>
      <w:szCs w:val="20"/>
    </w:rPr>
  </w:style>
  <w:style w:type="paragraph" w:styleId="BalloonText">
    <w:name w:val="Balloon Text"/>
    <w:basedOn w:val="Normal"/>
    <w:link w:val="BalloonTextChar"/>
    <w:uiPriority w:val="99"/>
    <w:semiHidden/>
    <w:unhideWhenUsed/>
    <w:rsid w:val="00D03A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3ABE"/>
    <w:rPr>
      <w:rFonts w:ascii="Times New Roman" w:hAnsi="Times New Roman" w:cs="Times New Roman"/>
      <w:sz w:val="18"/>
      <w:szCs w:val="18"/>
    </w:rPr>
  </w:style>
  <w:style w:type="paragraph" w:styleId="Caption">
    <w:name w:val="caption"/>
    <w:basedOn w:val="Normal"/>
    <w:next w:val="Normal"/>
    <w:uiPriority w:val="35"/>
    <w:unhideWhenUsed/>
    <w:qFormat/>
    <w:rsid w:val="0073735C"/>
    <w:pPr>
      <w:spacing w:after="200"/>
    </w:pPr>
    <w:rPr>
      <w:i/>
      <w:iCs/>
      <w:color w:val="44546A" w:themeColor="text2"/>
      <w:sz w:val="18"/>
      <w:szCs w:val="18"/>
    </w:rPr>
  </w:style>
  <w:style w:type="paragraph" w:styleId="Header">
    <w:name w:val="header"/>
    <w:basedOn w:val="Normal"/>
    <w:link w:val="HeaderChar"/>
    <w:uiPriority w:val="99"/>
    <w:unhideWhenUsed/>
    <w:rsid w:val="00514E6A"/>
    <w:pPr>
      <w:tabs>
        <w:tab w:val="center" w:pos="4680"/>
        <w:tab w:val="right" w:pos="9360"/>
      </w:tabs>
    </w:pPr>
  </w:style>
  <w:style w:type="character" w:customStyle="1" w:styleId="HeaderChar">
    <w:name w:val="Header Char"/>
    <w:basedOn w:val="DefaultParagraphFont"/>
    <w:link w:val="Header"/>
    <w:uiPriority w:val="99"/>
    <w:rsid w:val="00514E6A"/>
  </w:style>
  <w:style w:type="paragraph" w:styleId="Footer">
    <w:name w:val="footer"/>
    <w:basedOn w:val="Normal"/>
    <w:link w:val="FooterChar"/>
    <w:uiPriority w:val="99"/>
    <w:unhideWhenUsed/>
    <w:rsid w:val="00514E6A"/>
    <w:pPr>
      <w:tabs>
        <w:tab w:val="center" w:pos="4680"/>
        <w:tab w:val="right" w:pos="9360"/>
      </w:tabs>
    </w:pPr>
  </w:style>
  <w:style w:type="character" w:customStyle="1" w:styleId="FooterChar">
    <w:name w:val="Footer Char"/>
    <w:basedOn w:val="DefaultParagraphFont"/>
    <w:link w:val="Footer"/>
    <w:uiPriority w:val="99"/>
    <w:rsid w:val="00514E6A"/>
  </w:style>
  <w:style w:type="table" w:styleId="TableGrid">
    <w:name w:val="Table Grid"/>
    <w:basedOn w:val="TableNormal"/>
    <w:uiPriority w:val="39"/>
    <w:rsid w:val="00505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FF9DC4-7C6A-6440-B48C-6C4D6BAE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11766</Words>
  <Characters>67072</Characters>
  <Application>Microsoft Macintosh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30</cp:revision>
  <dcterms:created xsi:type="dcterms:W3CDTF">2018-07-26T00:00:00Z</dcterms:created>
  <dcterms:modified xsi:type="dcterms:W3CDTF">2018-08-01T21:36:00Z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ed374b53-f93b-3a7d-8ffc-8e0ce6da9433</vt:lpwstr>
  </property>
  <property fmtid="{D5CDD505-2E9C-101B-9397-08002B2CF9AE}" pid="24" name="Mendeley Citation Style_1">
    <vt:lpwstr>http://www.zotero.org/styles/harvard1</vt:lpwstr>
  </property>
</Properties>
</file>