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939" w:rsidRPr="003240F2" w:rsidRDefault="00E96939">
      <w:pPr>
        <w:rPr>
          <w:rFonts w:asciiTheme="majorHAnsi" w:hAnsiTheme="majorHAnsi"/>
          <w:b/>
          <w:sz w:val="24"/>
        </w:rPr>
      </w:pPr>
      <w:r w:rsidRPr="003240F2">
        <w:rPr>
          <w:rFonts w:asciiTheme="majorHAnsi" w:hAnsiTheme="majorHAnsi"/>
          <w:b/>
          <w:sz w:val="24"/>
        </w:rPr>
        <w:t>Grant Levang LVNGR001</w:t>
      </w:r>
    </w:p>
    <w:p w:rsidR="0041074E" w:rsidRPr="003240F2" w:rsidRDefault="00E96939">
      <w:pPr>
        <w:rPr>
          <w:rFonts w:asciiTheme="majorHAnsi" w:hAnsiTheme="majorHAnsi"/>
          <w:b/>
          <w:sz w:val="24"/>
        </w:rPr>
      </w:pPr>
      <w:r w:rsidRPr="003240F2">
        <w:rPr>
          <w:rFonts w:asciiTheme="majorHAnsi" w:hAnsiTheme="majorHAnsi"/>
          <w:b/>
          <w:sz w:val="24"/>
        </w:rPr>
        <w:t>Portfolio Theory Assignment 2: Risk and Portfolio construction</w:t>
      </w:r>
    </w:p>
    <w:p w:rsidR="009A47BF" w:rsidRDefault="009A47BF">
      <w:r>
        <w:t>Introduction:</w:t>
      </w:r>
    </w:p>
    <w:p w:rsidR="009A47BF" w:rsidRDefault="009A47BF">
      <w:r>
        <w:t>The shares which I have sel</w:t>
      </w:r>
      <w:r w:rsidR="00A96662">
        <w:t xml:space="preserve">ected to answer the questions in this assignment formed part of </w:t>
      </w:r>
      <w:r>
        <w:t xml:space="preserve">the JSE Top40 as at February 29, 2016. </w:t>
      </w:r>
      <w:r w:rsidR="00A96662">
        <w:t xml:space="preserve">The reason for this selection is that monthly data of </w:t>
      </w:r>
      <w:r w:rsidR="00A96662">
        <w:t>shares from this category</w:t>
      </w:r>
      <w:r w:rsidR="00A96662">
        <w:t xml:space="preserve"> were easily available to me. With regards to the groupings of these shares, I randomly selected 20 shares from this Top40 category and from those 20 shares, I randomly chose 10 shares to make up group 1. The remaining 10 shares comprised group 2.</w:t>
      </w:r>
    </w:p>
    <w:p w:rsidR="00A96662" w:rsidRDefault="00A96662"/>
    <w:p w:rsidR="00A96662" w:rsidRDefault="00A96662">
      <w:r>
        <w:t>Selected shares:</w:t>
      </w:r>
    </w:p>
    <w:tbl>
      <w:tblPr>
        <w:tblStyle w:val="TableGrid"/>
        <w:tblW w:w="0" w:type="auto"/>
        <w:tblLook w:val="04A0" w:firstRow="1" w:lastRow="0" w:firstColumn="1" w:lastColumn="0" w:noHBand="0" w:noVBand="1"/>
      </w:tblPr>
      <w:tblGrid>
        <w:gridCol w:w="2065"/>
        <w:gridCol w:w="7285"/>
      </w:tblGrid>
      <w:tr w:rsidR="00A96662" w:rsidTr="00A96662">
        <w:tc>
          <w:tcPr>
            <w:tcW w:w="2065" w:type="dxa"/>
          </w:tcPr>
          <w:p w:rsidR="00A96662" w:rsidRDefault="00A96662">
            <w:r>
              <w:t>Group 1:</w:t>
            </w:r>
          </w:p>
        </w:tc>
        <w:tc>
          <w:tcPr>
            <w:tcW w:w="7285" w:type="dxa"/>
          </w:tcPr>
          <w:p w:rsidR="00A96662" w:rsidRDefault="00A96662">
            <w:r>
              <w:t>AGL, BAT, CCO, FFB, INL, MNP, NED, NTC, OML and WHL.</w:t>
            </w:r>
          </w:p>
        </w:tc>
      </w:tr>
      <w:tr w:rsidR="00A96662" w:rsidTr="00A96662">
        <w:tc>
          <w:tcPr>
            <w:tcW w:w="2065" w:type="dxa"/>
          </w:tcPr>
          <w:p w:rsidR="00A96662" w:rsidRDefault="00A96662">
            <w:r>
              <w:t>Group 2:</w:t>
            </w:r>
          </w:p>
        </w:tc>
        <w:tc>
          <w:tcPr>
            <w:tcW w:w="7285" w:type="dxa"/>
          </w:tcPr>
          <w:p w:rsidR="00A96662" w:rsidRDefault="00A96662">
            <w:r>
              <w:t>APN, BGA, BVT, CFR, FFA, FSR, REI, REM, RMH and SHP.</w:t>
            </w:r>
          </w:p>
        </w:tc>
      </w:tr>
    </w:tbl>
    <w:p w:rsidR="00A96662" w:rsidRDefault="00A96662"/>
    <w:p w:rsidR="00E96939" w:rsidRDefault="00E96939">
      <w:r>
        <w:t>Question 1:</w:t>
      </w:r>
    </w:p>
    <w:tbl>
      <w:tblPr>
        <w:tblStyle w:val="PlainTable2"/>
        <w:tblW w:w="8780" w:type="dxa"/>
        <w:jc w:val="center"/>
        <w:tblLook w:val="04A0" w:firstRow="1" w:lastRow="0" w:firstColumn="1" w:lastColumn="0" w:noHBand="0" w:noVBand="1"/>
      </w:tblPr>
      <w:tblGrid>
        <w:gridCol w:w="960"/>
        <w:gridCol w:w="960"/>
        <w:gridCol w:w="1178"/>
        <w:gridCol w:w="980"/>
        <w:gridCol w:w="1377"/>
        <w:gridCol w:w="1160"/>
        <w:gridCol w:w="1060"/>
        <w:gridCol w:w="1515"/>
      </w:tblGrid>
      <w:tr w:rsidR="00034ED3" w:rsidRPr="00034ED3" w:rsidTr="00034ED3">
        <w:trPr>
          <w:cnfStyle w:val="100000000000" w:firstRow="1" w:lastRow="0" w:firstColumn="0" w:lastColumn="0" w:oddVBand="0" w:evenVBand="0" w:oddHBand="0" w:evenHBand="0" w:firstRowFirstColumn="0" w:firstRowLastColumn="0" w:lastRowFirstColumn="0" w:lastRowLastColumn="0"/>
          <w:trHeight w:val="1092"/>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34ED3" w:rsidRPr="00034ED3" w:rsidRDefault="00034ED3" w:rsidP="00034ED3">
            <w:pPr>
              <w:jc w:val="center"/>
              <w:rPr>
                <w:rFonts w:ascii="Calibri" w:eastAsia="Times New Roman" w:hAnsi="Calibri" w:cs="Times New Roman"/>
                <w:color w:val="000000"/>
                <w:sz w:val="28"/>
                <w:szCs w:val="28"/>
              </w:rPr>
            </w:pPr>
            <w:r w:rsidRPr="00034ED3">
              <w:rPr>
                <w:rFonts w:ascii="Calibri" w:eastAsia="Times New Roman" w:hAnsi="Calibri" w:cs="Times New Roman"/>
                <w:color w:val="000000"/>
                <w:sz w:val="28"/>
                <w:szCs w:val="28"/>
              </w:rPr>
              <w:t>Group</w:t>
            </w:r>
          </w:p>
        </w:tc>
        <w:tc>
          <w:tcPr>
            <w:tcW w:w="960" w:type="dxa"/>
            <w:noWrap/>
            <w:hideMark/>
          </w:tcPr>
          <w:p w:rsidR="00034ED3" w:rsidRPr="00034ED3" w:rsidRDefault="00034ED3" w:rsidP="00034E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8"/>
                <w:szCs w:val="28"/>
              </w:rPr>
            </w:pPr>
            <w:r w:rsidRPr="00034ED3">
              <w:rPr>
                <w:rFonts w:ascii="Calibri" w:eastAsia="Times New Roman" w:hAnsi="Calibri" w:cs="Times New Roman"/>
                <w:color w:val="000000"/>
                <w:sz w:val="28"/>
                <w:szCs w:val="28"/>
              </w:rPr>
              <w:t>Share</w:t>
            </w:r>
          </w:p>
        </w:tc>
        <w:tc>
          <w:tcPr>
            <w:tcW w:w="1060" w:type="dxa"/>
            <w:hideMark/>
          </w:tcPr>
          <w:p w:rsidR="00034ED3" w:rsidRPr="00034ED3" w:rsidRDefault="00034ED3" w:rsidP="00034E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8"/>
                <w:szCs w:val="28"/>
              </w:rPr>
            </w:pPr>
            <w:r w:rsidRPr="00034ED3">
              <w:rPr>
                <w:rFonts w:ascii="Calibri" w:eastAsia="Times New Roman" w:hAnsi="Calibri" w:cs="Times New Roman"/>
                <w:color w:val="000000"/>
                <w:sz w:val="28"/>
                <w:szCs w:val="28"/>
              </w:rPr>
              <w:t>3-year return</w:t>
            </w:r>
          </w:p>
        </w:tc>
        <w:tc>
          <w:tcPr>
            <w:tcW w:w="980" w:type="dxa"/>
            <w:hideMark/>
          </w:tcPr>
          <w:p w:rsidR="00034ED3" w:rsidRPr="00034ED3" w:rsidRDefault="00034ED3" w:rsidP="00034E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8"/>
                <w:szCs w:val="28"/>
              </w:rPr>
            </w:pPr>
            <w:r w:rsidRPr="00034ED3">
              <w:rPr>
                <w:rFonts w:ascii="Calibri" w:eastAsia="Times New Roman" w:hAnsi="Calibri" w:cs="Times New Roman"/>
                <w:color w:val="000000"/>
                <w:sz w:val="28"/>
                <w:szCs w:val="28"/>
              </w:rPr>
              <w:t>Beta</w:t>
            </w:r>
          </w:p>
        </w:tc>
        <w:tc>
          <w:tcPr>
            <w:tcW w:w="1280" w:type="dxa"/>
            <w:hideMark/>
          </w:tcPr>
          <w:p w:rsidR="00034ED3" w:rsidRPr="00034ED3" w:rsidRDefault="00034ED3" w:rsidP="00034E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8"/>
                <w:szCs w:val="28"/>
              </w:rPr>
            </w:pPr>
            <w:r w:rsidRPr="00034ED3">
              <w:rPr>
                <w:rFonts w:ascii="Calibri" w:eastAsia="Times New Roman" w:hAnsi="Calibri" w:cs="Times New Roman"/>
                <w:color w:val="000000"/>
                <w:sz w:val="28"/>
                <w:szCs w:val="28"/>
              </w:rPr>
              <w:t>Reliability of beta</w:t>
            </w:r>
          </w:p>
        </w:tc>
        <w:tc>
          <w:tcPr>
            <w:tcW w:w="1160" w:type="dxa"/>
            <w:hideMark/>
          </w:tcPr>
          <w:p w:rsidR="00034ED3" w:rsidRPr="00034ED3" w:rsidRDefault="00034ED3" w:rsidP="00034E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8"/>
                <w:szCs w:val="28"/>
              </w:rPr>
            </w:pPr>
            <w:r w:rsidRPr="00034ED3">
              <w:rPr>
                <w:rFonts w:ascii="Calibri" w:eastAsia="Times New Roman" w:hAnsi="Calibri" w:cs="Times New Roman"/>
                <w:color w:val="000000"/>
                <w:sz w:val="28"/>
                <w:szCs w:val="28"/>
              </w:rPr>
              <w:t>R squared</w:t>
            </w:r>
          </w:p>
        </w:tc>
        <w:tc>
          <w:tcPr>
            <w:tcW w:w="980" w:type="dxa"/>
            <w:hideMark/>
          </w:tcPr>
          <w:p w:rsidR="00034ED3" w:rsidRPr="00034ED3" w:rsidRDefault="00034ED3" w:rsidP="00034E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8"/>
                <w:szCs w:val="28"/>
              </w:rPr>
            </w:pPr>
            <w:r w:rsidRPr="00034ED3">
              <w:rPr>
                <w:rFonts w:ascii="Calibri" w:eastAsia="Times New Roman" w:hAnsi="Calibri" w:cs="Times New Roman"/>
                <w:color w:val="000000"/>
                <w:sz w:val="28"/>
                <w:szCs w:val="28"/>
              </w:rPr>
              <w:t>Unique Risk</w:t>
            </w:r>
          </w:p>
        </w:tc>
        <w:tc>
          <w:tcPr>
            <w:tcW w:w="1400" w:type="dxa"/>
            <w:hideMark/>
          </w:tcPr>
          <w:p w:rsidR="00034ED3" w:rsidRPr="00034ED3" w:rsidRDefault="00034ED3" w:rsidP="00034E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8"/>
                <w:szCs w:val="28"/>
              </w:rPr>
            </w:pPr>
            <w:r w:rsidRPr="00034ED3">
              <w:rPr>
                <w:rFonts w:ascii="Calibri" w:eastAsia="Times New Roman" w:hAnsi="Calibri" w:cs="Times New Roman"/>
                <w:color w:val="000000"/>
                <w:sz w:val="28"/>
                <w:szCs w:val="28"/>
              </w:rPr>
              <w:t>Annualized standard deviation</w:t>
            </w:r>
          </w:p>
        </w:tc>
      </w:tr>
      <w:tr w:rsidR="00034ED3" w:rsidRPr="00034ED3" w:rsidTr="00034ED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960" w:type="dxa"/>
            <w:vMerge w:val="restart"/>
            <w:noWrap/>
            <w:hideMark/>
          </w:tcPr>
          <w:p w:rsidR="00034ED3" w:rsidRPr="00034ED3" w:rsidRDefault="00034ED3" w:rsidP="00034ED3">
            <w:pPr>
              <w:jc w:val="center"/>
              <w:rPr>
                <w:rFonts w:ascii="Calibri" w:eastAsia="Times New Roman" w:hAnsi="Calibri" w:cs="Times New Roman"/>
                <w:color w:val="000000"/>
                <w:sz w:val="28"/>
                <w:szCs w:val="28"/>
              </w:rPr>
            </w:pPr>
            <w:r w:rsidRPr="00034ED3">
              <w:rPr>
                <w:rFonts w:ascii="Calibri" w:eastAsia="Times New Roman" w:hAnsi="Calibri" w:cs="Times New Roman"/>
                <w:color w:val="000000"/>
                <w:sz w:val="28"/>
                <w:szCs w:val="28"/>
              </w:rPr>
              <w:t>1</w:t>
            </w:r>
          </w:p>
        </w:tc>
        <w:tc>
          <w:tcPr>
            <w:tcW w:w="960" w:type="dxa"/>
            <w:noWrap/>
            <w:hideMark/>
          </w:tcPr>
          <w:p w:rsidR="00034ED3" w:rsidRPr="00034ED3" w:rsidRDefault="00034ED3" w:rsidP="00034E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4"/>
                <w:szCs w:val="24"/>
              </w:rPr>
            </w:pPr>
            <w:r w:rsidRPr="00034ED3">
              <w:rPr>
                <w:rFonts w:ascii="Calibri" w:eastAsia="Times New Roman" w:hAnsi="Calibri" w:cs="Times New Roman"/>
                <w:b/>
                <w:bCs/>
                <w:color w:val="000000"/>
                <w:sz w:val="24"/>
                <w:szCs w:val="24"/>
              </w:rPr>
              <w:t>AGL</w:t>
            </w:r>
          </w:p>
        </w:tc>
        <w:tc>
          <w:tcPr>
            <w:tcW w:w="106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-62.897%</w:t>
            </w:r>
          </w:p>
        </w:tc>
        <w:tc>
          <w:tcPr>
            <w:tcW w:w="9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1.59</w:t>
            </w:r>
          </w:p>
        </w:tc>
        <w:tc>
          <w:tcPr>
            <w:tcW w:w="12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0.240143</w:t>
            </w:r>
          </w:p>
        </w:tc>
        <w:tc>
          <w:tcPr>
            <w:tcW w:w="116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0.00018</w:t>
            </w:r>
          </w:p>
        </w:tc>
        <w:tc>
          <w:tcPr>
            <w:tcW w:w="9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0.00553</w:t>
            </w:r>
          </w:p>
        </w:tc>
        <w:tc>
          <w:tcPr>
            <w:tcW w:w="140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0.36638</w:t>
            </w:r>
          </w:p>
        </w:tc>
      </w:tr>
      <w:tr w:rsidR="00034ED3" w:rsidRPr="00034ED3" w:rsidTr="00034ED3">
        <w:trPr>
          <w:trHeight w:val="312"/>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rsidR="00034ED3" w:rsidRPr="00034ED3" w:rsidRDefault="00034ED3" w:rsidP="00034ED3">
            <w:pPr>
              <w:rPr>
                <w:rFonts w:ascii="Calibri" w:eastAsia="Times New Roman" w:hAnsi="Calibri" w:cs="Times New Roman"/>
                <w:color w:val="000000"/>
                <w:sz w:val="28"/>
                <w:szCs w:val="28"/>
              </w:rPr>
            </w:pPr>
          </w:p>
        </w:tc>
        <w:tc>
          <w:tcPr>
            <w:tcW w:w="960" w:type="dxa"/>
            <w:noWrap/>
            <w:hideMark/>
          </w:tcPr>
          <w:p w:rsidR="00034ED3" w:rsidRPr="00034ED3" w:rsidRDefault="00034ED3" w:rsidP="00034E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4"/>
                <w:szCs w:val="24"/>
              </w:rPr>
            </w:pPr>
            <w:r w:rsidRPr="00034ED3">
              <w:rPr>
                <w:rFonts w:ascii="Calibri" w:eastAsia="Times New Roman" w:hAnsi="Calibri" w:cs="Times New Roman"/>
                <w:b/>
                <w:bCs/>
                <w:color w:val="000000"/>
                <w:sz w:val="24"/>
                <w:szCs w:val="24"/>
              </w:rPr>
              <w:t>BAT</w:t>
            </w:r>
          </w:p>
        </w:tc>
        <w:tc>
          <w:tcPr>
            <w:tcW w:w="106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393.789%</w:t>
            </w:r>
          </w:p>
        </w:tc>
        <w:tc>
          <w:tcPr>
            <w:tcW w:w="9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0.59</w:t>
            </w:r>
          </w:p>
        </w:tc>
        <w:tc>
          <w:tcPr>
            <w:tcW w:w="12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0.295883</w:t>
            </w:r>
          </w:p>
        </w:tc>
        <w:tc>
          <w:tcPr>
            <w:tcW w:w="116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0.01251</w:t>
            </w:r>
          </w:p>
        </w:tc>
        <w:tc>
          <w:tcPr>
            <w:tcW w:w="9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0.00652</w:t>
            </w:r>
          </w:p>
        </w:tc>
        <w:tc>
          <w:tcPr>
            <w:tcW w:w="140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0.29579</w:t>
            </w:r>
          </w:p>
        </w:tc>
      </w:tr>
      <w:tr w:rsidR="00034ED3" w:rsidRPr="00034ED3" w:rsidTr="00034ED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rsidR="00034ED3" w:rsidRPr="00034ED3" w:rsidRDefault="00034ED3" w:rsidP="00034ED3">
            <w:pPr>
              <w:rPr>
                <w:rFonts w:ascii="Calibri" w:eastAsia="Times New Roman" w:hAnsi="Calibri" w:cs="Times New Roman"/>
                <w:color w:val="000000"/>
                <w:sz w:val="28"/>
                <w:szCs w:val="28"/>
              </w:rPr>
            </w:pPr>
          </w:p>
        </w:tc>
        <w:tc>
          <w:tcPr>
            <w:tcW w:w="960" w:type="dxa"/>
            <w:noWrap/>
            <w:hideMark/>
          </w:tcPr>
          <w:p w:rsidR="00034ED3" w:rsidRPr="00034ED3" w:rsidRDefault="00034ED3" w:rsidP="00034E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4"/>
                <w:szCs w:val="24"/>
              </w:rPr>
            </w:pPr>
            <w:r w:rsidRPr="00034ED3">
              <w:rPr>
                <w:rFonts w:ascii="Calibri" w:eastAsia="Times New Roman" w:hAnsi="Calibri" w:cs="Times New Roman"/>
                <w:b/>
                <w:bCs/>
                <w:color w:val="000000"/>
                <w:sz w:val="24"/>
                <w:szCs w:val="24"/>
              </w:rPr>
              <w:t>CCO</w:t>
            </w:r>
          </w:p>
        </w:tc>
        <w:tc>
          <w:tcPr>
            <w:tcW w:w="106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116.709%</w:t>
            </w:r>
          </w:p>
        </w:tc>
        <w:tc>
          <w:tcPr>
            <w:tcW w:w="9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0.13</w:t>
            </w:r>
          </w:p>
        </w:tc>
        <w:tc>
          <w:tcPr>
            <w:tcW w:w="12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0.207855</w:t>
            </w:r>
          </w:p>
        </w:tc>
        <w:tc>
          <w:tcPr>
            <w:tcW w:w="116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0.00077</w:t>
            </w:r>
          </w:p>
        </w:tc>
        <w:tc>
          <w:tcPr>
            <w:tcW w:w="9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0.00355</w:t>
            </w:r>
          </w:p>
        </w:tc>
        <w:tc>
          <w:tcPr>
            <w:tcW w:w="140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0.20769</w:t>
            </w:r>
          </w:p>
        </w:tc>
      </w:tr>
      <w:tr w:rsidR="00034ED3" w:rsidRPr="00034ED3" w:rsidTr="00034ED3">
        <w:trPr>
          <w:trHeight w:val="312"/>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rsidR="00034ED3" w:rsidRPr="00034ED3" w:rsidRDefault="00034ED3" w:rsidP="00034ED3">
            <w:pPr>
              <w:rPr>
                <w:rFonts w:ascii="Calibri" w:eastAsia="Times New Roman" w:hAnsi="Calibri" w:cs="Times New Roman"/>
                <w:color w:val="000000"/>
                <w:sz w:val="28"/>
                <w:szCs w:val="28"/>
              </w:rPr>
            </w:pPr>
          </w:p>
        </w:tc>
        <w:tc>
          <w:tcPr>
            <w:tcW w:w="960" w:type="dxa"/>
            <w:noWrap/>
            <w:hideMark/>
          </w:tcPr>
          <w:p w:rsidR="00034ED3" w:rsidRPr="00034ED3" w:rsidRDefault="00034ED3" w:rsidP="00034E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4"/>
                <w:szCs w:val="24"/>
              </w:rPr>
            </w:pPr>
            <w:r w:rsidRPr="00034ED3">
              <w:rPr>
                <w:rFonts w:ascii="Calibri" w:eastAsia="Times New Roman" w:hAnsi="Calibri" w:cs="Times New Roman"/>
                <w:b/>
                <w:bCs/>
                <w:color w:val="000000"/>
                <w:sz w:val="24"/>
                <w:szCs w:val="24"/>
              </w:rPr>
              <w:t>FFB</w:t>
            </w:r>
          </w:p>
        </w:tc>
        <w:tc>
          <w:tcPr>
            <w:tcW w:w="106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353.947%</w:t>
            </w:r>
          </w:p>
        </w:tc>
        <w:tc>
          <w:tcPr>
            <w:tcW w:w="9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-0.23</w:t>
            </w:r>
          </w:p>
        </w:tc>
        <w:tc>
          <w:tcPr>
            <w:tcW w:w="12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0.341638</w:t>
            </w:r>
          </w:p>
        </w:tc>
        <w:tc>
          <w:tcPr>
            <w:tcW w:w="116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0.02939</w:t>
            </w:r>
          </w:p>
        </w:tc>
        <w:tc>
          <w:tcPr>
            <w:tcW w:w="9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0.00909</w:t>
            </w:r>
          </w:p>
        </w:tc>
        <w:tc>
          <w:tcPr>
            <w:tcW w:w="140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0.33228</w:t>
            </w:r>
          </w:p>
        </w:tc>
      </w:tr>
      <w:tr w:rsidR="00034ED3" w:rsidRPr="00034ED3" w:rsidTr="00034ED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rsidR="00034ED3" w:rsidRPr="00034ED3" w:rsidRDefault="00034ED3" w:rsidP="00034ED3">
            <w:pPr>
              <w:rPr>
                <w:rFonts w:ascii="Calibri" w:eastAsia="Times New Roman" w:hAnsi="Calibri" w:cs="Times New Roman"/>
                <w:color w:val="000000"/>
                <w:sz w:val="28"/>
                <w:szCs w:val="28"/>
              </w:rPr>
            </w:pPr>
          </w:p>
        </w:tc>
        <w:tc>
          <w:tcPr>
            <w:tcW w:w="960" w:type="dxa"/>
            <w:noWrap/>
            <w:hideMark/>
          </w:tcPr>
          <w:p w:rsidR="00034ED3" w:rsidRPr="00034ED3" w:rsidRDefault="00034ED3" w:rsidP="00034E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4"/>
                <w:szCs w:val="24"/>
              </w:rPr>
            </w:pPr>
            <w:r w:rsidRPr="00034ED3">
              <w:rPr>
                <w:rFonts w:ascii="Calibri" w:eastAsia="Times New Roman" w:hAnsi="Calibri" w:cs="Times New Roman"/>
                <w:b/>
                <w:bCs/>
                <w:color w:val="000000"/>
                <w:sz w:val="24"/>
                <w:szCs w:val="24"/>
              </w:rPr>
              <w:t>INL</w:t>
            </w:r>
          </w:p>
        </w:tc>
        <w:tc>
          <w:tcPr>
            <w:tcW w:w="106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65.521%</w:t>
            </w:r>
          </w:p>
        </w:tc>
        <w:tc>
          <w:tcPr>
            <w:tcW w:w="9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0.98</w:t>
            </w:r>
          </w:p>
        </w:tc>
        <w:tc>
          <w:tcPr>
            <w:tcW w:w="12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0.149939</w:t>
            </w:r>
          </w:p>
        </w:tc>
        <w:tc>
          <w:tcPr>
            <w:tcW w:w="116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0.02224</w:t>
            </w:r>
          </w:p>
        </w:tc>
        <w:tc>
          <w:tcPr>
            <w:tcW w:w="9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0.00398</w:t>
            </w:r>
          </w:p>
        </w:tc>
        <w:tc>
          <w:tcPr>
            <w:tcW w:w="140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0.27106</w:t>
            </w:r>
          </w:p>
        </w:tc>
      </w:tr>
      <w:tr w:rsidR="00034ED3" w:rsidRPr="00034ED3" w:rsidTr="00034ED3">
        <w:trPr>
          <w:trHeight w:val="312"/>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rsidR="00034ED3" w:rsidRPr="00034ED3" w:rsidRDefault="00034ED3" w:rsidP="00034ED3">
            <w:pPr>
              <w:rPr>
                <w:rFonts w:ascii="Calibri" w:eastAsia="Times New Roman" w:hAnsi="Calibri" w:cs="Times New Roman"/>
                <w:color w:val="000000"/>
                <w:sz w:val="28"/>
                <w:szCs w:val="28"/>
              </w:rPr>
            </w:pPr>
          </w:p>
        </w:tc>
        <w:tc>
          <w:tcPr>
            <w:tcW w:w="960" w:type="dxa"/>
            <w:noWrap/>
            <w:hideMark/>
          </w:tcPr>
          <w:p w:rsidR="00034ED3" w:rsidRPr="00034ED3" w:rsidRDefault="00034ED3" w:rsidP="00034E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4"/>
                <w:szCs w:val="24"/>
              </w:rPr>
            </w:pPr>
            <w:r w:rsidRPr="00034ED3">
              <w:rPr>
                <w:rFonts w:ascii="Calibri" w:eastAsia="Times New Roman" w:hAnsi="Calibri" w:cs="Times New Roman"/>
                <w:b/>
                <w:bCs/>
                <w:color w:val="000000"/>
                <w:sz w:val="24"/>
                <w:szCs w:val="24"/>
              </w:rPr>
              <w:t>MNP</w:t>
            </w:r>
          </w:p>
        </w:tc>
        <w:tc>
          <w:tcPr>
            <w:tcW w:w="106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152.353%</w:t>
            </w:r>
          </w:p>
        </w:tc>
        <w:tc>
          <w:tcPr>
            <w:tcW w:w="9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1.22</w:t>
            </w:r>
          </w:p>
        </w:tc>
        <w:tc>
          <w:tcPr>
            <w:tcW w:w="12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0.225735</w:t>
            </w:r>
          </w:p>
        </w:tc>
        <w:tc>
          <w:tcPr>
            <w:tcW w:w="116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0.00347</w:t>
            </w:r>
          </w:p>
        </w:tc>
        <w:tc>
          <w:tcPr>
            <w:tcW w:w="9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0.00704</w:t>
            </w:r>
          </w:p>
        </w:tc>
        <w:tc>
          <w:tcPr>
            <w:tcW w:w="140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0.35280</w:t>
            </w:r>
          </w:p>
        </w:tc>
      </w:tr>
      <w:tr w:rsidR="00034ED3" w:rsidRPr="00034ED3" w:rsidTr="00034ED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rsidR="00034ED3" w:rsidRPr="00034ED3" w:rsidRDefault="00034ED3" w:rsidP="00034ED3">
            <w:pPr>
              <w:rPr>
                <w:rFonts w:ascii="Calibri" w:eastAsia="Times New Roman" w:hAnsi="Calibri" w:cs="Times New Roman"/>
                <w:color w:val="000000"/>
                <w:sz w:val="28"/>
                <w:szCs w:val="28"/>
              </w:rPr>
            </w:pPr>
          </w:p>
        </w:tc>
        <w:tc>
          <w:tcPr>
            <w:tcW w:w="960" w:type="dxa"/>
            <w:noWrap/>
            <w:hideMark/>
          </w:tcPr>
          <w:p w:rsidR="00034ED3" w:rsidRPr="00034ED3" w:rsidRDefault="00034ED3" w:rsidP="00034E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4"/>
                <w:szCs w:val="24"/>
              </w:rPr>
            </w:pPr>
            <w:r w:rsidRPr="00034ED3">
              <w:rPr>
                <w:rFonts w:ascii="Calibri" w:eastAsia="Times New Roman" w:hAnsi="Calibri" w:cs="Times New Roman"/>
                <w:b/>
                <w:bCs/>
                <w:color w:val="000000"/>
                <w:sz w:val="24"/>
                <w:szCs w:val="24"/>
              </w:rPr>
              <w:t>NED</w:t>
            </w:r>
          </w:p>
        </w:tc>
        <w:tc>
          <w:tcPr>
            <w:tcW w:w="106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3.534%</w:t>
            </w:r>
          </w:p>
        </w:tc>
        <w:tc>
          <w:tcPr>
            <w:tcW w:w="9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0.58</w:t>
            </w:r>
          </w:p>
        </w:tc>
        <w:tc>
          <w:tcPr>
            <w:tcW w:w="12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0.157524</w:t>
            </w:r>
          </w:p>
        </w:tc>
        <w:tc>
          <w:tcPr>
            <w:tcW w:w="116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0.01010</w:t>
            </w:r>
          </w:p>
        </w:tc>
        <w:tc>
          <w:tcPr>
            <w:tcW w:w="9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0.00370</w:t>
            </w:r>
          </w:p>
        </w:tc>
        <w:tc>
          <w:tcPr>
            <w:tcW w:w="140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0.23083</w:t>
            </w:r>
          </w:p>
        </w:tc>
      </w:tr>
      <w:tr w:rsidR="00034ED3" w:rsidRPr="00034ED3" w:rsidTr="00034ED3">
        <w:trPr>
          <w:trHeight w:val="312"/>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rsidR="00034ED3" w:rsidRPr="00034ED3" w:rsidRDefault="00034ED3" w:rsidP="00034ED3">
            <w:pPr>
              <w:rPr>
                <w:rFonts w:ascii="Calibri" w:eastAsia="Times New Roman" w:hAnsi="Calibri" w:cs="Times New Roman"/>
                <w:color w:val="000000"/>
                <w:sz w:val="28"/>
                <w:szCs w:val="28"/>
              </w:rPr>
            </w:pPr>
          </w:p>
        </w:tc>
        <w:tc>
          <w:tcPr>
            <w:tcW w:w="960" w:type="dxa"/>
            <w:noWrap/>
            <w:hideMark/>
          </w:tcPr>
          <w:p w:rsidR="00034ED3" w:rsidRPr="00034ED3" w:rsidRDefault="00034ED3" w:rsidP="00034E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4"/>
                <w:szCs w:val="24"/>
              </w:rPr>
            </w:pPr>
            <w:r w:rsidRPr="00034ED3">
              <w:rPr>
                <w:rFonts w:ascii="Calibri" w:eastAsia="Times New Roman" w:hAnsi="Calibri" w:cs="Times New Roman"/>
                <w:b/>
                <w:bCs/>
                <w:color w:val="000000"/>
                <w:sz w:val="24"/>
                <w:szCs w:val="24"/>
              </w:rPr>
              <w:t>NTC</w:t>
            </w:r>
          </w:p>
        </w:tc>
        <w:tc>
          <w:tcPr>
            <w:tcW w:w="106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72.150%</w:t>
            </w:r>
          </w:p>
        </w:tc>
        <w:tc>
          <w:tcPr>
            <w:tcW w:w="9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0.63</w:t>
            </w:r>
          </w:p>
        </w:tc>
        <w:tc>
          <w:tcPr>
            <w:tcW w:w="12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0.163142</w:t>
            </w:r>
          </w:p>
        </w:tc>
        <w:tc>
          <w:tcPr>
            <w:tcW w:w="116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0.00138</w:t>
            </w:r>
          </w:p>
        </w:tc>
        <w:tc>
          <w:tcPr>
            <w:tcW w:w="9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0.00356</w:t>
            </w:r>
          </w:p>
        </w:tc>
        <w:tc>
          <w:tcPr>
            <w:tcW w:w="140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0.23074</w:t>
            </w:r>
          </w:p>
        </w:tc>
      </w:tr>
      <w:tr w:rsidR="00034ED3" w:rsidRPr="00034ED3" w:rsidTr="00034ED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rsidR="00034ED3" w:rsidRPr="00034ED3" w:rsidRDefault="00034ED3" w:rsidP="00034ED3">
            <w:pPr>
              <w:rPr>
                <w:rFonts w:ascii="Calibri" w:eastAsia="Times New Roman" w:hAnsi="Calibri" w:cs="Times New Roman"/>
                <w:color w:val="000000"/>
                <w:sz w:val="28"/>
                <w:szCs w:val="28"/>
              </w:rPr>
            </w:pPr>
          </w:p>
        </w:tc>
        <w:tc>
          <w:tcPr>
            <w:tcW w:w="960" w:type="dxa"/>
            <w:noWrap/>
            <w:hideMark/>
          </w:tcPr>
          <w:p w:rsidR="00034ED3" w:rsidRPr="00034ED3" w:rsidRDefault="00034ED3" w:rsidP="00034E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4"/>
                <w:szCs w:val="24"/>
              </w:rPr>
            </w:pPr>
            <w:r w:rsidRPr="00034ED3">
              <w:rPr>
                <w:rFonts w:ascii="Calibri" w:eastAsia="Times New Roman" w:hAnsi="Calibri" w:cs="Times New Roman"/>
                <w:b/>
                <w:bCs/>
                <w:color w:val="000000"/>
                <w:sz w:val="24"/>
                <w:szCs w:val="24"/>
              </w:rPr>
              <w:t>OML</w:t>
            </w:r>
          </w:p>
        </w:tc>
        <w:tc>
          <w:tcPr>
            <w:tcW w:w="106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42.679%</w:t>
            </w:r>
          </w:p>
        </w:tc>
        <w:tc>
          <w:tcPr>
            <w:tcW w:w="9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1.05</w:t>
            </w:r>
          </w:p>
        </w:tc>
        <w:tc>
          <w:tcPr>
            <w:tcW w:w="12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0.169998</w:t>
            </w:r>
          </w:p>
        </w:tc>
        <w:tc>
          <w:tcPr>
            <w:tcW w:w="116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0.04053</w:t>
            </w:r>
          </w:p>
        </w:tc>
        <w:tc>
          <w:tcPr>
            <w:tcW w:w="9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0.00343</w:t>
            </w:r>
          </w:p>
        </w:tc>
        <w:tc>
          <w:tcPr>
            <w:tcW w:w="140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0.26607</w:t>
            </w:r>
          </w:p>
        </w:tc>
      </w:tr>
      <w:tr w:rsidR="00034ED3" w:rsidRPr="00034ED3" w:rsidTr="00034ED3">
        <w:trPr>
          <w:trHeight w:val="324"/>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rsidR="00034ED3" w:rsidRPr="00034ED3" w:rsidRDefault="00034ED3" w:rsidP="00034ED3">
            <w:pPr>
              <w:rPr>
                <w:rFonts w:ascii="Calibri" w:eastAsia="Times New Roman" w:hAnsi="Calibri" w:cs="Times New Roman"/>
                <w:color w:val="000000"/>
                <w:sz w:val="28"/>
                <w:szCs w:val="28"/>
              </w:rPr>
            </w:pPr>
          </w:p>
        </w:tc>
        <w:tc>
          <w:tcPr>
            <w:tcW w:w="960" w:type="dxa"/>
            <w:noWrap/>
            <w:hideMark/>
          </w:tcPr>
          <w:p w:rsidR="00034ED3" w:rsidRPr="00034ED3" w:rsidRDefault="00034ED3" w:rsidP="00034E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4"/>
                <w:szCs w:val="24"/>
              </w:rPr>
            </w:pPr>
            <w:r w:rsidRPr="00034ED3">
              <w:rPr>
                <w:rFonts w:ascii="Calibri" w:eastAsia="Times New Roman" w:hAnsi="Calibri" w:cs="Times New Roman"/>
                <w:b/>
                <w:bCs/>
                <w:color w:val="000000"/>
                <w:sz w:val="24"/>
                <w:szCs w:val="24"/>
              </w:rPr>
              <w:t>WHL</w:t>
            </w:r>
          </w:p>
        </w:tc>
        <w:tc>
          <w:tcPr>
            <w:tcW w:w="106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37.098%</w:t>
            </w:r>
          </w:p>
        </w:tc>
        <w:tc>
          <w:tcPr>
            <w:tcW w:w="9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0.68</w:t>
            </w:r>
          </w:p>
        </w:tc>
        <w:tc>
          <w:tcPr>
            <w:tcW w:w="12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0.209368</w:t>
            </w:r>
          </w:p>
        </w:tc>
        <w:tc>
          <w:tcPr>
            <w:tcW w:w="116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0.01272</w:t>
            </w:r>
          </w:p>
        </w:tc>
        <w:tc>
          <w:tcPr>
            <w:tcW w:w="9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0.00443</w:t>
            </w:r>
          </w:p>
        </w:tc>
        <w:tc>
          <w:tcPr>
            <w:tcW w:w="140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0.25619</w:t>
            </w:r>
          </w:p>
        </w:tc>
      </w:tr>
      <w:tr w:rsidR="00034ED3" w:rsidRPr="00034ED3" w:rsidTr="00034ED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960" w:type="dxa"/>
            <w:vMerge w:val="restart"/>
            <w:noWrap/>
            <w:hideMark/>
          </w:tcPr>
          <w:p w:rsidR="00034ED3" w:rsidRPr="00034ED3" w:rsidRDefault="00034ED3" w:rsidP="00034ED3">
            <w:pPr>
              <w:jc w:val="center"/>
              <w:rPr>
                <w:rFonts w:ascii="Calibri" w:eastAsia="Times New Roman" w:hAnsi="Calibri" w:cs="Times New Roman"/>
                <w:color w:val="000000"/>
                <w:sz w:val="28"/>
                <w:szCs w:val="28"/>
              </w:rPr>
            </w:pPr>
            <w:r w:rsidRPr="00034ED3">
              <w:rPr>
                <w:rFonts w:ascii="Calibri" w:eastAsia="Times New Roman" w:hAnsi="Calibri" w:cs="Times New Roman"/>
                <w:color w:val="000000"/>
                <w:sz w:val="28"/>
                <w:szCs w:val="28"/>
              </w:rPr>
              <w:t>2</w:t>
            </w:r>
          </w:p>
        </w:tc>
        <w:tc>
          <w:tcPr>
            <w:tcW w:w="960" w:type="dxa"/>
            <w:noWrap/>
            <w:hideMark/>
          </w:tcPr>
          <w:p w:rsidR="00034ED3" w:rsidRPr="00034ED3" w:rsidRDefault="00034ED3" w:rsidP="00034E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4"/>
                <w:szCs w:val="24"/>
              </w:rPr>
            </w:pPr>
            <w:r w:rsidRPr="00034ED3">
              <w:rPr>
                <w:rFonts w:ascii="Calibri" w:eastAsia="Times New Roman" w:hAnsi="Calibri" w:cs="Times New Roman"/>
                <w:b/>
                <w:bCs/>
                <w:color w:val="000000"/>
                <w:sz w:val="24"/>
                <w:szCs w:val="24"/>
              </w:rPr>
              <w:t>APN</w:t>
            </w:r>
          </w:p>
        </w:tc>
        <w:tc>
          <w:tcPr>
            <w:tcW w:w="106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68.090%</w:t>
            </w:r>
          </w:p>
        </w:tc>
        <w:tc>
          <w:tcPr>
            <w:tcW w:w="9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0.49</w:t>
            </w:r>
          </w:p>
        </w:tc>
        <w:tc>
          <w:tcPr>
            <w:tcW w:w="12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0.226185</w:t>
            </w:r>
          </w:p>
        </w:tc>
        <w:tc>
          <w:tcPr>
            <w:tcW w:w="116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0.01267</w:t>
            </w:r>
          </w:p>
        </w:tc>
        <w:tc>
          <w:tcPr>
            <w:tcW w:w="9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0.00585</w:t>
            </w:r>
          </w:p>
        </w:tc>
        <w:tc>
          <w:tcPr>
            <w:tcW w:w="140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0.27664</w:t>
            </w:r>
          </w:p>
        </w:tc>
      </w:tr>
      <w:tr w:rsidR="00034ED3" w:rsidRPr="00034ED3" w:rsidTr="00034ED3">
        <w:trPr>
          <w:trHeight w:val="312"/>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rsidR="00034ED3" w:rsidRPr="00034ED3" w:rsidRDefault="00034ED3" w:rsidP="00034ED3">
            <w:pPr>
              <w:rPr>
                <w:rFonts w:ascii="Calibri" w:eastAsia="Times New Roman" w:hAnsi="Calibri" w:cs="Times New Roman"/>
                <w:color w:val="000000"/>
                <w:sz w:val="28"/>
                <w:szCs w:val="28"/>
              </w:rPr>
            </w:pPr>
          </w:p>
        </w:tc>
        <w:tc>
          <w:tcPr>
            <w:tcW w:w="960" w:type="dxa"/>
            <w:noWrap/>
            <w:hideMark/>
          </w:tcPr>
          <w:p w:rsidR="00034ED3" w:rsidRPr="00034ED3" w:rsidRDefault="00034ED3" w:rsidP="00034E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4"/>
                <w:szCs w:val="24"/>
              </w:rPr>
            </w:pPr>
            <w:r w:rsidRPr="00034ED3">
              <w:rPr>
                <w:rFonts w:ascii="Calibri" w:eastAsia="Times New Roman" w:hAnsi="Calibri" w:cs="Times New Roman"/>
                <w:b/>
                <w:bCs/>
                <w:color w:val="000000"/>
                <w:sz w:val="24"/>
                <w:szCs w:val="24"/>
              </w:rPr>
              <w:t>BGA</w:t>
            </w:r>
          </w:p>
        </w:tc>
        <w:tc>
          <w:tcPr>
            <w:tcW w:w="106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-3.114%</w:t>
            </w:r>
          </w:p>
        </w:tc>
        <w:tc>
          <w:tcPr>
            <w:tcW w:w="9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0.67</w:t>
            </w:r>
          </w:p>
        </w:tc>
        <w:tc>
          <w:tcPr>
            <w:tcW w:w="12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0.170747</w:t>
            </w:r>
          </w:p>
        </w:tc>
        <w:tc>
          <w:tcPr>
            <w:tcW w:w="116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0.00702</w:t>
            </w:r>
          </w:p>
        </w:tc>
        <w:tc>
          <w:tcPr>
            <w:tcW w:w="9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0.00347</w:t>
            </w:r>
          </w:p>
        </w:tc>
        <w:tc>
          <w:tcPr>
            <w:tcW w:w="140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0.23152</w:t>
            </w:r>
          </w:p>
        </w:tc>
      </w:tr>
      <w:tr w:rsidR="00034ED3" w:rsidRPr="00034ED3" w:rsidTr="00034ED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rsidR="00034ED3" w:rsidRPr="00034ED3" w:rsidRDefault="00034ED3" w:rsidP="00034ED3">
            <w:pPr>
              <w:rPr>
                <w:rFonts w:ascii="Calibri" w:eastAsia="Times New Roman" w:hAnsi="Calibri" w:cs="Times New Roman"/>
                <w:color w:val="000000"/>
                <w:sz w:val="28"/>
                <w:szCs w:val="28"/>
              </w:rPr>
            </w:pPr>
          </w:p>
        </w:tc>
        <w:tc>
          <w:tcPr>
            <w:tcW w:w="960" w:type="dxa"/>
            <w:noWrap/>
            <w:hideMark/>
          </w:tcPr>
          <w:p w:rsidR="00034ED3" w:rsidRPr="00034ED3" w:rsidRDefault="00034ED3" w:rsidP="00034E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4"/>
                <w:szCs w:val="24"/>
              </w:rPr>
            </w:pPr>
            <w:r w:rsidRPr="00034ED3">
              <w:rPr>
                <w:rFonts w:ascii="Calibri" w:eastAsia="Times New Roman" w:hAnsi="Calibri" w:cs="Times New Roman"/>
                <w:b/>
                <w:bCs/>
                <w:color w:val="000000"/>
                <w:sz w:val="24"/>
                <w:szCs w:val="24"/>
              </w:rPr>
              <w:t>BVT</w:t>
            </w:r>
          </w:p>
        </w:tc>
        <w:tc>
          <w:tcPr>
            <w:tcW w:w="106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52.935%</w:t>
            </w:r>
          </w:p>
        </w:tc>
        <w:tc>
          <w:tcPr>
            <w:tcW w:w="9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0.66</w:t>
            </w:r>
          </w:p>
        </w:tc>
        <w:tc>
          <w:tcPr>
            <w:tcW w:w="12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0.139915</w:t>
            </w:r>
          </w:p>
        </w:tc>
        <w:tc>
          <w:tcPr>
            <w:tcW w:w="116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0.02056</w:t>
            </w:r>
          </w:p>
        </w:tc>
        <w:tc>
          <w:tcPr>
            <w:tcW w:w="9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0.00230</w:t>
            </w:r>
          </w:p>
        </w:tc>
        <w:tc>
          <w:tcPr>
            <w:tcW w:w="140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0.19814</w:t>
            </w:r>
          </w:p>
        </w:tc>
      </w:tr>
      <w:tr w:rsidR="00034ED3" w:rsidRPr="00034ED3" w:rsidTr="00034ED3">
        <w:trPr>
          <w:trHeight w:val="312"/>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rsidR="00034ED3" w:rsidRPr="00034ED3" w:rsidRDefault="00034ED3" w:rsidP="00034ED3">
            <w:pPr>
              <w:rPr>
                <w:rFonts w:ascii="Calibri" w:eastAsia="Times New Roman" w:hAnsi="Calibri" w:cs="Times New Roman"/>
                <w:color w:val="000000"/>
                <w:sz w:val="28"/>
                <w:szCs w:val="28"/>
              </w:rPr>
            </w:pPr>
          </w:p>
        </w:tc>
        <w:tc>
          <w:tcPr>
            <w:tcW w:w="960" w:type="dxa"/>
            <w:noWrap/>
            <w:hideMark/>
          </w:tcPr>
          <w:p w:rsidR="00034ED3" w:rsidRPr="00034ED3" w:rsidRDefault="00034ED3" w:rsidP="00034E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4"/>
                <w:szCs w:val="24"/>
              </w:rPr>
            </w:pPr>
            <w:r w:rsidRPr="00034ED3">
              <w:rPr>
                <w:rFonts w:ascii="Calibri" w:eastAsia="Times New Roman" w:hAnsi="Calibri" w:cs="Times New Roman"/>
                <w:b/>
                <w:bCs/>
                <w:color w:val="000000"/>
                <w:sz w:val="24"/>
                <w:szCs w:val="24"/>
              </w:rPr>
              <w:t>CFR</w:t>
            </w:r>
          </w:p>
        </w:tc>
        <w:tc>
          <w:tcPr>
            <w:tcW w:w="106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41.765%</w:t>
            </w:r>
          </w:p>
        </w:tc>
        <w:tc>
          <w:tcPr>
            <w:tcW w:w="9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1.00</w:t>
            </w:r>
          </w:p>
        </w:tc>
        <w:tc>
          <w:tcPr>
            <w:tcW w:w="12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0.222592</w:t>
            </w:r>
          </w:p>
        </w:tc>
        <w:tc>
          <w:tcPr>
            <w:tcW w:w="116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0.00116</w:t>
            </w:r>
          </w:p>
        </w:tc>
        <w:tc>
          <w:tcPr>
            <w:tcW w:w="9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0.00482</w:t>
            </w:r>
          </w:p>
        </w:tc>
        <w:tc>
          <w:tcPr>
            <w:tcW w:w="140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0.29122</w:t>
            </w:r>
          </w:p>
        </w:tc>
      </w:tr>
      <w:tr w:rsidR="00034ED3" w:rsidRPr="00034ED3" w:rsidTr="00034ED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rsidR="00034ED3" w:rsidRPr="00034ED3" w:rsidRDefault="00034ED3" w:rsidP="00034ED3">
            <w:pPr>
              <w:rPr>
                <w:rFonts w:ascii="Calibri" w:eastAsia="Times New Roman" w:hAnsi="Calibri" w:cs="Times New Roman"/>
                <w:color w:val="000000"/>
                <w:sz w:val="28"/>
                <w:szCs w:val="28"/>
              </w:rPr>
            </w:pPr>
          </w:p>
        </w:tc>
        <w:tc>
          <w:tcPr>
            <w:tcW w:w="960" w:type="dxa"/>
            <w:noWrap/>
            <w:hideMark/>
          </w:tcPr>
          <w:p w:rsidR="00034ED3" w:rsidRPr="00034ED3" w:rsidRDefault="00034ED3" w:rsidP="00034E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4"/>
                <w:szCs w:val="24"/>
              </w:rPr>
            </w:pPr>
            <w:r w:rsidRPr="00034ED3">
              <w:rPr>
                <w:rFonts w:ascii="Calibri" w:eastAsia="Times New Roman" w:hAnsi="Calibri" w:cs="Times New Roman"/>
                <w:b/>
                <w:bCs/>
                <w:color w:val="000000"/>
                <w:sz w:val="24"/>
                <w:szCs w:val="24"/>
              </w:rPr>
              <w:t>FFA</w:t>
            </w:r>
          </w:p>
        </w:tc>
        <w:tc>
          <w:tcPr>
            <w:tcW w:w="106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-1.974%</w:t>
            </w:r>
          </w:p>
        </w:tc>
        <w:tc>
          <w:tcPr>
            <w:tcW w:w="9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0.06</w:t>
            </w:r>
          </w:p>
        </w:tc>
        <w:tc>
          <w:tcPr>
            <w:tcW w:w="12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0.136783</w:t>
            </w:r>
          </w:p>
        </w:tc>
        <w:tc>
          <w:tcPr>
            <w:tcW w:w="116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0.00094</w:t>
            </w:r>
          </w:p>
        </w:tc>
        <w:tc>
          <w:tcPr>
            <w:tcW w:w="9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0.00137</w:t>
            </w:r>
          </w:p>
        </w:tc>
        <w:tc>
          <w:tcPr>
            <w:tcW w:w="140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0.12859</w:t>
            </w:r>
          </w:p>
        </w:tc>
      </w:tr>
      <w:tr w:rsidR="00034ED3" w:rsidRPr="00034ED3" w:rsidTr="00034ED3">
        <w:trPr>
          <w:trHeight w:val="312"/>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rsidR="00034ED3" w:rsidRPr="00034ED3" w:rsidRDefault="00034ED3" w:rsidP="00034ED3">
            <w:pPr>
              <w:rPr>
                <w:rFonts w:ascii="Calibri" w:eastAsia="Times New Roman" w:hAnsi="Calibri" w:cs="Times New Roman"/>
                <w:color w:val="000000"/>
                <w:sz w:val="28"/>
                <w:szCs w:val="28"/>
              </w:rPr>
            </w:pPr>
          </w:p>
        </w:tc>
        <w:tc>
          <w:tcPr>
            <w:tcW w:w="960" w:type="dxa"/>
            <w:noWrap/>
            <w:hideMark/>
          </w:tcPr>
          <w:p w:rsidR="00034ED3" w:rsidRPr="00034ED3" w:rsidRDefault="00034ED3" w:rsidP="00034E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4"/>
                <w:szCs w:val="24"/>
              </w:rPr>
            </w:pPr>
            <w:r w:rsidRPr="00034ED3">
              <w:rPr>
                <w:rFonts w:ascii="Calibri" w:eastAsia="Times New Roman" w:hAnsi="Calibri" w:cs="Times New Roman"/>
                <w:b/>
                <w:bCs/>
                <w:color w:val="000000"/>
                <w:sz w:val="24"/>
                <w:szCs w:val="24"/>
              </w:rPr>
              <w:t>FSR</w:t>
            </w:r>
          </w:p>
        </w:tc>
        <w:tc>
          <w:tcPr>
            <w:tcW w:w="106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54.198%</w:t>
            </w:r>
          </w:p>
        </w:tc>
        <w:tc>
          <w:tcPr>
            <w:tcW w:w="9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0.74</w:t>
            </w:r>
          </w:p>
        </w:tc>
        <w:tc>
          <w:tcPr>
            <w:tcW w:w="12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0.161354</w:t>
            </w:r>
          </w:p>
        </w:tc>
        <w:tc>
          <w:tcPr>
            <w:tcW w:w="116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0.00018</w:t>
            </w:r>
          </w:p>
        </w:tc>
        <w:tc>
          <w:tcPr>
            <w:tcW w:w="9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0.00360</w:t>
            </w:r>
          </w:p>
        </w:tc>
        <w:tc>
          <w:tcPr>
            <w:tcW w:w="140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0.24080</w:t>
            </w:r>
          </w:p>
        </w:tc>
      </w:tr>
      <w:tr w:rsidR="00034ED3" w:rsidRPr="00034ED3" w:rsidTr="00034ED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rsidR="00034ED3" w:rsidRPr="00034ED3" w:rsidRDefault="00034ED3" w:rsidP="00034ED3">
            <w:pPr>
              <w:rPr>
                <w:rFonts w:ascii="Calibri" w:eastAsia="Times New Roman" w:hAnsi="Calibri" w:cs="Times New Roman"/>
                <w:color w:val="000000"/>
                <w:sz w:val="28"/>
                <w:szCs w:val="28"/>
              </w:rPr>
            </w:pPr>
          </w:p>
        </w:tc>
        <w:tc>
          <w:tcPr>
            <w:tcW w:w="960" w:type="dxa"/>
            <w:noWrap/>
            <w:hideMark/>
          </w:tcPr>
          <w:p w:rsidR="00034ED3" w:rsidRPr="00034ED3" w:rsidRDefault="00034ED3" w:rsidP="00034E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4"/>
                <w:szCs w:val="24"/>
              </w:rPr>
            </w:pPr>
            <w:r w:rsidRPr="00034ED3">
              <w:rPr>
                <w:rFonts w:ascii="Calibri" w:eastAsia="Times New Roman" w:hAnsi="Calibri" w:cs="Times New Roman"/>
                <w:b/>
                <w:bCs/>
                <w:color w:val="000000"/>
                <w:sz w:val="24"/>
                <w:szCs w:val="24"/>
              </w:rPr>
              <w:t>REI</w:t>
            </w:r>
          </w:p>
        </w:tc>
        <w:tc>
          <w:tcPr>
            <w:tcW w:w="106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89.235%</w:t>
            </w:r>
          </w:p>
        </w:tc>
        <w:tc>
          <w:tcPr>
            <w:tcW w:w="9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0.41</w:t>
            </w:r>
          </w:p>
        </w:tc>
        <w:tc>
          <w:tcPr>
            <w:tcW w:w="12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0.155231</w:t>
            </w:r>
          </w:p>
        </w:tc>
        <w:tc>
          <w:tcPr>
            <w:tcW w:w="116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0.00493</w:t>
            </w:r>
          </w:p>
        </w:tc>
        <w:tc>
          <w:tcPr>
            <w:tcW w:w="9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0.00303</w:t>
            </w:r>
          </w:p>
        </w:tc>
        <w:tc>
          <w:tcPr>
            <w:tcW w:w="140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0.20222</w:t>
            </w:r>
          </w:p>
        </w:tc>
      </w:tr>
      <w:tr w:rsidR="00034ED3" w:rsidRPr="00034ED3" w:rsidTr="00034ED3">
        <w:trPr>
          <w:trHeight w:val="312"/>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rsidR="00034ED3" w:rsidRPr="00034ED3" w:rsidRDefault="00034ED3" w:rsidP="00034ED3">
            <w:pPr>
              <w:rPr>
                <w:rFonts w:ascii="Calibri" w:eastAsia="Times New Roman" w:hAnsi="Calibri" w:cs="Times New Roman"/>
                <w:color w:val="000000"/>
                <w:sz w:val="28"/>
                <w:szCs w:val="28"/>
              </w:rPr>
            </w:pPr>
          </w:p>
        </w:tc>
        <w:tc>
          <w:tcPr>
            <w:tcW w:w="960" w:type="dxa"/>
            <w:noWrap/>
            <w:hideMark/>
          </w:tcPr>
          <w:p w:rsidR="00034ED3" w:rsidRPr="00034ED3" w:rsidRDefault="00034ED3" w:rsidP="00034E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4"/>
                <w:szCs w:val="24"/>
              </w:rPr>
            </w:pPr>
            <w:r w:rsidRPr="00034ED3">
              <w:rPr>
                <w:rFonts w:ascii="Calibri" w:eastAsia="Times New Roman" w:hAnsi="Calibri" w:cs="Times New Roman"/>
                <w:b/>
                <w:bCs/>
                <w:color w:val="000000"/>
                <w:sz w:val="24"/>
                <w:szCs w:val="24"/>
              </w:rPr>
              <w:t>REM</w:t>
            </w:r>
          </w:p>
        </w:tc>
        <w:tc>
          <w:tcPr>
            <w:tcW w:w="106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45.982%</w:t>
            </w:r>
          </w:p>
        </w:tc>
        <w:tc>
          <w:tcPr>
            <w:tcW w:w="9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0.53</w:t>
            </w:r>
          </w:p>
        </w:tc>
        <w:tc>
          <w:tcPr>
            <w:tcW w:w="12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0.120261</w:t>
            </w:r>
          </w:p>
        </w:tc>
        <w:tc>
          <w:tcPr>
            <w:tcW w:w="116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0.00103</w:t>
            </w:r>
          </w:p>
        </w:tc>
        <w:tc>
          <w:tcPr>
            <w:tcW w:w="9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0.00150</w:t>
            </w:r>
          </w:p>
        </w:tc>
        <w:tc>
          <w:tcPr>
            <w:tcW w:w="140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0.15968</w:t>
            </w:r>
          </w:p>
        </w:tc>
      </w:tr>
      <w:tr w:rsidR="00034ED3" w:rsidRPr="00034ED3" w:rsidTr="00034ED3">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rsidR="00034ED3" w:rsidRPr="00034ED3" w:rsidRDefault="00034ED3" w:rsidP="00034ED3">
            <w:pPr>
              <w:rPr>
                <w:rFonts w:ascii="Calibri" w:eastAsia="Times New Roman" w:hAnsi="Calibri" w:cs="Times New Roman"/>
                <w:color w:val="000000"/>
                <w:sz w:val="28"/>
                <w:szCs w:val="28"/>
              </w:rPr>
            </w:pPr>
          </w:p>
        </w:tc>
        <w:tc>
          <w:tcPr>
            <w:tcW w:w="960" w:type="dxa"/>
            <w:noWrap/>
            <w:hideMark/>
          </w:tcPr>
          <w:p w:rsidR="00034ED3" w:rsidRPr="00034ED3" w:rsidRDefault="00034ED3" w:rsidP="00034ED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4"/>
                <w:szCs w:val="24"/>
              </w:rPr>
            </w:pPr>
            <w:r w:rsidRPr="00034ED3">
              <w:rPr>
                <w:rFonts w:ascii="Calibri" w:eastAsia="Times New Roman" w:hAnsi="Calibri" w:cs="Times New Roman"/>
                <w:b/>
                <w:bCs/>
                <w:color w:val="000000"/>
                <w:sz w:val="24"/>
                <w:szCs w:val="24"/>
              </w:rPr>
              <w:t>RMH</w:t>
            </w:r>
          </w:p>
        </w:tc>
        <w:tc>
          <w:tcPr>
            <w:tcW w:w="106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47.460%</w:t>
            </w:r>
          </w:p>
        </w:tc>
        <w:tc>
          <w:tcPr>
            <w:tcW w:w="9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0.74</w:t>
            </w:r>
          </w:p>
        </w:tc>
        <w:tc>
          <w:tcPr>
            <w:tcW w:w="12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0.190513</w:t>
            </w:r>
          </w:p>
        </w:tc>
        <w:tc>
          <w:tcPr>
            <w:tcW w:w="116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0.00870</w:t>
            </w:r>
          </w:p>
        </w:tc>
        <w:tc>
          <w:tcPr>
            <w:tcW w:w="98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0.00362</w:t>
            </w:r>
          </w:p>
        </w:tc>
        <w:tc>
          <w:tcPr>
            <w:tcW w:w="1400"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0.24072</w:t>
            </w:r>
          </w:p>
        </w:tc>
      </w:tr>
      <w:tr w:rsidR="00034ED3" w:rsidRPr="00034ED3" w:rsidTr="00034ED3">
        <w:trPr>
          <w:trHeight w:val="324"/>
          <w:jc w:val="center"/>
        </w:trPr>
        <w:tc>
          <w:tcPr>
            <w:cnfStyle w:val="001000000000" w:firstRow="0" w:lastRow="0" w:firstColumn="1" w:lastColumn="0" w:oddVBand="0" w:evenVBand="0" w:oddHBand="0" w:evenHBand="0" w:firstRowFirstColumn="0" w:firstRowLastColumn="0" w:lastRowFirstColumn="0" w:lastRowLastColumn="0"/>
            <w:tcW w:w="960" w:type="dxa"/>
            <w:vMerge/>
            <w:hideMark/>
          </w:tcPr>
          <w:p w:rsidR="00034ED3" w:rsidRPr="00034ED3" w:rsidRDefault="00034ED3" w:rsidP="00034ED3">
            <w:pPr>
              <w:rPr>
                <w:rFonts w:ascii="Calibri" w:eastAsia="Times New Roman" w:hAnsi="Calibri" w:cs="Times New Roman"/>
                <w:color w:val="000000"/>
                <w:sz w:val="28"/>
                <w:szCs w:val="28"/>
              </w:rPr>
            </w:pPr>
          </w:p>
        </w:tc>
        <w:tc>
          <w:tcPr>
            <w:tcW w:w="960" w:type="dxa"/>
            <w:noWrap/>
            <w:hideMark/>
          </w:tcPr>
          <w:p w:rsidR="00034ED3" w:rsidRPr="00034ED3" w:rsidRDefault="00034ED3" w:rsidP="00034ED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4"/>
                <w:szCs w:val="24"/>
              </w:rPr>
            </w:pPr>
            <w:r w:rsidRPr="00034ED3">
              <w:rPr>
                <w:rFonts w:ascii="Calibri" w:eastAsia="Times New Roman" w:hAnsi="Calibri" w:cs="Times New Roman"/>
                <w:b/>
                <w:bCs/>
                <w:color w:val="000000"/>
                <w:sz w:val="24"/>
                <w:szCs w:val="24"/>
              </w:rPr>
              <w:t>SHP</w:t>
            </w:r>
          </w:p>
        </w:tc>
        <w:tc>
          <w:tcPr>
            <w:tcW w:w="106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-12.158%</w:t>
            </w:r>
          </w:p>
        </w:tc>
        <w:tc>
          <w:tcPr>
            <w:tcW w:w="9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0.35</w:t>
            </w:r>
          </w:p>
        </w:tc>
        <w:tc>
          <w:tcPr>
            <w:tcW w:w="12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0.244265</w:t>
            </w:r>
          </w:p>
        </w:tc>
        <w:tc>
          <w:tcPr>
            <w:tcW w:w="116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0.01561</w:t>
            </w:r>
          </w:p>
        </w:tc>
        <w:tc>
          <w:tcPr>
            <w:tcW w:w="98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0.00488</w:t>
            </w:r>
          </w:p>
        </w:tc>
        <w:tc>
          <w:tcPr>
            <w:tcW w:w="1400"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034ED3">
              <w:rPr>
                <w:rFonts w:ascii="Calibri" w:eastAsia="Times New Roman" w:hAnsi="Calibri" w:cs="Times New Roman"/>
                <w:color w:val="000000"/>
                <w:sz w:val="24"/>
                <w:szCs w:val="24"/>
              </w:rPr>
              <w:t>0.24882</w:t>
            </w:r>
          </w:p>
        </w:tc>
      </w:tr>
    </w:tbl>
    <w:p w:rsidR="00775426" w:rsidRDefault="00775426" w:rsidP="00E96939">
      <w:r>
        <w:lastRenderedPageBreak/>
        <w:t>Question 2:</w:t>
      </w:r>
    </w:p>
    <w:tbl>
      <w:tblPr>
        <w:tblStyle w:val="PlainTable5"/>
        <w:tblW w:w="6016" w:type="dxa"/>
        <w:tblLook w:val="04A0" w:firstRow="1" w:lastRow="0" w:firstColumn="1" w:lastColumn="0" w:noHBand="0" w:noVBand="1"/>
      </w:tblPr>
      <w:tblGrid>
        <w:gridCol w:w="4230"/>
        <w:gridCol w:w="1098"/>
        <w:gridCol w:w="987"/>
      </w:tblGrid>
      <w:tr w:rsidR="00034ED3" w:rsidRPr="00034ED3" w:rsidTr="00A96662">
        <w:trPr>
          <w:cnfStyle w:val="100000000000" w:firstRow="1" w:lastRow="0" w:firstColumn="0" w:lastColumn="0" w:oddVBand="0" w:evenVBand="0" w:oddHBand="0" w:evenHBand="0" w:firstRowFirstColumn="0" w:firstRowLastColumn="0" w:lastRowFirstColumn="0" w:lastRowLastColumn="0"/>
          <w:trHeight w:val="372"/>
        </w:trPr>
        <w:tc>
          <w:tcPr>
            <w:cnfStyle w:val="001000000100" w:firstRow="0" w:lastRow="0" w:firstColumn="1" w:lastColumn="0" w:oddVBand="0" w:evenVBand="0" w:oddHBand="0" w:evenHBand="0" w:firstRowFirstColumn="1" w:firstRowLastColumn="0" w:lastRowFirstColumn="0" w:lastRowLastColumn="0"/>
            <w:tcW w:w="4230" w:type="dxa"/>
            <w:vMerge w:val="restart"/>
            <w:noWrap/>
            <w:hideMark/>
          </w:tcPr>
          <w:p w:rsidR="00034ED3" w:rsidRPr="00034ED3" w:rsidRDefault="00034ED3" w:rsidP="00034ED3">
            <w:pPr>
              <w:jc w:val="center"/>
              <w:rPr>
                <w:rFonts w:ascii="Calibri" w:eastAsia="Times New Roman" w:hAnsi="Calibri" w:cs="Times New Roman"/>
                <w:color w:val="000000"/>
              </w:rPr>
            </w:pPr>
            <w:r w:rsidRPr="00034ED3">
              <w:rPr>
                <w:rFonts w:ascii="Calibri" w:eastAsia="Times New Roman" w:hAnsi="Calibri" w:cs="Times New Roman"/>
                <w:color w:val="000000"/>
              </w:rPr>
              <w:t> </w:t>
            </w:r>
          </w:p>
        </w:tc>
        <w:tc>
          <w:tcPr>
            <w:tcW w:w="1786" w:type="dxa"/>
            <w:gridSpan w:val="2"/>
            <w:noWrap/>
            <w:hideMark/>
          </w:tcPr>
          <w:p w:rsidR="00034ED3" w:rsidRPr="00034ED3" w:rsidRDefault="00034ED3" w:rsidP="00034E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8"/>
                <w:szCs w:val="28"/>
              </w:rPr>
            </w:pPr>
            <w:r w:rsidRPr="00034ED3">
              <w:rPr>
                <w:rFonts w:ascii="Calibri" w:eastAsia="Times New Roman" w:hAnsi="Calibri" w:cs="Times New Roman"/>
                <w:b/>
                <w:bCs/>
                <w:color w:val="000000"/>
                <w:sz w:val="28"/>
                <w:szCs w:val="28"/>
              </w:rPr>
              <w:t>Portfolio</w:t>
            </w:r>
          </w:p>
        </w:tc>
      </w:tr>
      <w:tr w:rsidR="00034ED3" w:rsidRPr="00034ED3" w:rsidTr="00A966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4230" w:type="dxa"/>
            <w:vMerge/>
            <w:hideMark/>
          </w:tcPr>
          <w:p w:rsidR="00034ED3" w:rsidRPr="00034ED3" w:rsidRDefault="00034ED3" w:rsidP="00034ED3">
            <w:pPr>
              <w:rPr>
                <w:rFonts w:ascii="Calibri" w:eastAsia="Times New Roman" w:hAnsi="Calibri" w:cs="Times New Roman"/>
                <w:color w:val="000000"/>
              </w:rPr>
            </w:pPr>
          </w:p>
        </w:tc>
        <w:tc>
          <w:tcPr>
            <w:tcW w:w="799" w:type="dxa"/>
            <w:noWrap/>
            <w:hideMark/>
          </w:tcPr>
          <w:p w:rsidR="00034ED3" w:rsidRPr="00034ED3" w:rsidRDefault="00034ED3" w:rsidP="00034E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rPr>
            </w:pPr>
            <w:r w:rsidRPr="00034ED3">
              <w:rPr>
                <w:rFonts w:ascii="Calibri" w:eastAsia="Times New Roman" w:hAnsi="Calibri" w:cs="Times New Roman"/>
                <w:b/>
                <w:bCs/>
                <w:color w:val="000000"/>
                <w:sz w:val="28"/>
                <w:szCs w:val="28"/>
              </w:rPr>
              <w:t>A</w:t>
            </w:r>
          </w:p>
        </w:tc>
        <w:tc>
          <w:tcPr>
            <w:tcW w:w="987" w:type="dxa"/>
            <w:noWrap/>
            <w:hideMark/>
          </w:tcPr>
          <w:p w:rsidR="00034ED3" w:rsidRPr="00034ED3" w:rsidRDefault="00034ED3" w:rsidP="00034E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rPr>
            </w:pPr>
            <w:r w:rsidRPr="00034ED3">
              <w:rPr>
                <w:rFonts w:ascii="Calibri" w:eastAsia="Times New Roman" w:hAnsi="Calibri" w:cs="Times New Roman"/>
                <w:b/>
                <w:bCs/>
                <w:color w:val="000000"/>
                <w:sz w:val="28"/>
                <w:szCs w:val="28"/>
              </w:rPr>
              <w:t>B</w:t>
            </w:r>
          </w:p>
        </w:tc>
      </w:tr>
      <w:tr w:rsidR="00034ED3" w:rsidRPr="00034ED3" w:rsidTr="00A96662">
        <w:trPr>
          <w:trHeight w:val="372"/>
        </w:trPr>
        <w:tc>
          <w:tcPr>
            <w:cnfStyle w:val="001000000000" w:firstRow="0" w:lastRow="0" w:firstColumn="1" w:lastColumn="0" w:oddVBand="0" w:evenVBand="0" w:oddHBand="0" w:evenHBand="0" w:firstRowFirstColumn="0" w:firstRowLastColumn="0" w:lastRowFirstColumn="0" w:lastRowLastColumn="0"/>
            <w:tcW w:w="4230" w:type="dxa"/>
            <w:noWrap/>
            <w:hideMark/>
          </w:tcPr>
          <w:p w:rsidR="00034ED3" w:rsidRPr="00034ED3" w:rsidRDefault="00034ED3" w:rsidP="00034ED3">
            <w:pPr>
              <w:rPr>
                <w:rFonts w:ascii="Calibri" w:eastAsia="Times New Roman" w:hAnsi="Calibri" w:cs="Times New Roman"/>
                <w:b/>
                <w:bCs/>
                <w:color w:val="000000"/>
                <w:sz w:val="28"/>
                <w:szCs w:val="28"/>
              </w:rPr>
            </w:pPr>
            <w:r w:rsidRPr="00034ED3">
              <w:rPr>
                <w:rFonts w:ascii="Calibri" w:eastAsia="Times New Roman" w:hAnsi="Calibri" w:cs="Times New Roman"/>
                <w:b/>
                <w:bCs/>
                <w:color w:val="000000"/>
                <w:sz w:val="28"/>
                <w:szCs w:val="28"/>
              </w:rPr>
              <w:t>3 year return:</w:t>
            </w:r>
          </w:p>
        </w:tc>
        <w:tc>
          <w:tcPr>
            <w:tcW w:w="799"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34ED3">
              <w:rPr>
                <w:rFonts w:ascii="Calibri" w:eastAsia="Times New Roman" w:hAnsi="Calibri" w:cs="Times New Roman"/>
                <w:color w:val="000000"/>
              </w:rPr>
              <w:t>117.488%</w:t>
            </w:r>
          </w:p>
        </w:tc>
        <w:tc>
          <w:tcPr>
            <w:tcW w:w="987"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34ED3">
              <w:rPr>
                <w:rFonts w:ascii="Calibri" w:eastAsia="Times New Roman" w:hAnsi="Calibri" w:cs="Times New Roman"/>
                <w:color w:val="000000"/>
              </w:rPr>
              <w:t>38.242%</w:t>
            </w:r>
          </w:p>
        </w:tc>
      </w:tr>
      <w:tr w:rsidR="00034ED3" w:rsidRPr="00034ED3" w:rsidTr="00A96662">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230" w:type="dxa"/>
            <w:noWrap/>
            <w:hideMark/>
          </w:tcPr>
          <w:p w:rsidR="00034ED3" w:rsidRPr="00034ED3" w:rsidRDefault="00034ED3" w:rsidP="00034ED3">
            <w:pPr>
              <w:rPr>
                <w:rFonts w:ascii="Calibri" w:eastAsia="Times New Roman" w:hAnsi="Calibri" w:cs="Times New Roman"/>
                <w:b/>
                <w:bCs/>
                <w:color w:val="000000"/>
                <w:sz w:val="28"/>
                <w:szCs w:val="28"/>
              </w:rPr>
            </w:pPr>
            <w:r w:rsidRPr="00034ED3">
              <w:rPr>
                <w:rFonts w:ascii="Calibri" w:eastAsia="Times New Roman" w:hAnsi="Calibri" w:cs="Times New Roman"/>
                <w:b/>
                <w:bCs/>
                <w:color w:val="000000"/>
                <w:sz w:val="28"/>
                <w:szCs w:val="28"/>
              </w:rPr>
              <w:t>Beta:</w:t>
            </w:r>
          </w:p>
        </w:tc>
        <w:tc>
          <w:tcPr>
            <w:tcW w:w="799"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34ED3">
              <w:rPr>
                <w:rFonts w:ascii="Calibri" w:eastAsia="Times New Roman" w:hAnsi="Calibri" w:cs="Times New Roman"/>
                <w:color w:val="000000"/>
              </w:rPr>
              <w:t>0.62</w:t>
            </w:r>
          </w:p>
        </w:tc>
        <w:tc>
          <w:tcPr>
            <w:tcW w:w="987"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34ED3">
              <w:rPr>
                <w:rFonts w:ascii="Calibri" w:eastAsia="Times New Roman" w:hAnsi="Calibri" w:cs="Times New Roman"/>
                <w:color w:val="000000"/>
              </w:rPr>
              <w:t>0.57</w:t>
            </w:r>
          </w:p>
        </w:tc>
      </w:tr>
      <w:tr w:rsidR="00034ED3" w:rsidRPr="00034ED3" w:rsidTr="00A96662">
        <w:trPr>
          <w:trHeight w:val="360"/>
        </w:trPr>
        <w:tc>
          <w:tcPr>
            <w:cnfStyle w:val="001000000000" w:firstRow="0" w:lastRow="0" w:firstColumn="1" w:lastColumn="0" w:oddVBand="0" w:evenVBand="0" w:oddHBand="0" w:evenHBand="0" w:firstRowFirstColumn="0" w:firstRowLastColumn="0" w:lastRowFirstColumn="0" w:lastRowLastColumn="0"/>
            <w:tcW w:w="4230" w:type="dxa"/>
            <w:noWrap/>
            <w:hideMark/>
          </w:tcPr>
          <w:p w:rsidR="00034ED3" w:rsidRPr="00034ED3" w:rsidRDefault="00034ED3" w:rsidP="00034ED3">
            <w:pPr>
              <w:rPr>
                <w:rFonts w:ascii="Calibri" w:eastAsia="Times New Roman" w:hAnsi="Calibri" w:cs="Times New Roman"/>
                <w:b/>
                <w:bCs/>
                <w:color w:val="000000"/>
                <w:sz w:val="28"/>
                <w:szCs w:val="28"/>
              </w:rPr>
            </w:pPr>
            <w:r w:rsidRPr="00034ED3">
              <w:rPr>
                <w:rFonts w:ascii="Calibri" w:eastAsia="Times New Roman" w:hAnsi="Calibri" w:cs="Times New Roman"/>
                <w:b/>
                <w:bCs/>
                <w:color w:val="000000"/>
                <w:sz w:val="28"/>
                <w:szCs w:val="28"/>
              </w:rPr>
              <w:t>Reliability of beta:</w:t>
            </w:r>
          </w:p>
        </w:tc>
        <w:tc>
          <w:tcPr>
            <w:tcW w:w="799"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34ED3">
              <w:rPr>
                <w:rFonts w:ascii="Calibri" w:eastAsia="Times New Roman" w:hAnsi="Calibri" w:cs="Times New Roman"/>
                <w:color w:val="000000"/>
              </w:rPr>
              <w:t>0.08124</w:t>
            </w:r>
          </w:p>
        </w:tc>
        <w:tc>
          <w:tcPr>
            <w:tcW w:w="987"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34ED3">
              <w:rPr>
                <w:rFonts w:ascii="Calibri" w:eastAsia="Times New Roman" w:hAnsi="Calibri" w:cs="Times New Roman"/>
                <w:color w:val="000000"/>
              </w:rPr>
              <w:t>0.08070</w:t>
            </w:r>
          </w:p>
        </w:tc>
      </w:tr>
      <w:tr w:rsidR="00034ED3" w:rsidRPr="00034ED3" w:rsidTr="00A96662">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230" w:type="dxa"/>
            <w:noWrap/>
            <w:hideMark/>
          </w:tcPr>
          <w:p w:rsidR="00034ED3" w:rsidRPr="00034ED3" w:rsidRDefault="00034ED3" w:rsidP="00034ED3">
            <w:pPr>
              <w:rPr>
                <w:rFonts w:ascii="Calibri" w:eastAsia="Times New Roman" w:hAnsi="Calibri" w:cs="Times New Roman"/>
                <w:b/>
                <w:bCs/>
                <w:color w:val="000000"/>
                <w:sz w:val="28"/>
                <w:szCs w:val="28"/>
              </w:rPr>
            </w:pPr>
            <w:r w:rsidRPr="00034ED3">
              <w:rPr>
                <w:rFonts w:ascii="Calibri" w:eastAsia="Times New Roman" w:hAnsi="Calibri" w:cs="Times New Roman"/>
                <w:b/>
                <w:bCs/>
                <w:color w:val="000000"/>
                <w:sz w:val="28"/>
                <w:szCs w:val="28"/>
              </w:rPr>
              <w:t>Annualized Standard deviation:</w:t>
            </w:r>
          </w:p>
        </w:tc>
        <w:tc>
          <w:tcPr>
            <w:tcW w:w="799"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34ED3">
              <w:rPr>
                <w:rFonts w:ascii="Calibri" w:eastAsia="Times New Roman" w:hAnsi="Calibri" w:cs="Times New Roman"/>
                <w:color w:val="000000"/>
              </w:rPr>
              <w:t>0.12772</w:t>
            </w:r>
          </w:p>
        </w:tc>
        <w:tc>
          <w:tcPr>
            <w:tcW w:w="987"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34ED3">
              <w:rPr>
                <w:rFonts w:ascii="Calibri" w:eastAsia="Times New Roman" w:hAnsi="Calibri" w:cs="Times New Roman"/>
                <w:color w:val="000000"/>
              </w:rPr>
              <w:t>0.12236</w:t>
            </w:r>
          </w:p>
        </w:tc>
      </w:tr>
      <w:tr w:rsidR="00034ED3" w:rsidRPr="00034ED3" w:rsidTr="00A96662">
        <w:trPr>
          <w:trHeight w:val="360"/>
        </w:trPr>
        <w:tc>
          <w:tcPr>
            <w:cnfStyle w:val="001000000000" w:firstRow="0" w:lastRow="0" w:firstColumn="1" w:lastColumn="0" w:oddVBand="0" w:evenVBand="0" w:oddHBand="0" w:evenHBand="0" w:firstRowFirstColumn="0" w:firstRowLastColumn="0" w:lastRowFirstColumn="0" w:lastRowLastColumn="0"/>
            <w:tcW w:w="4230" w:type="dxa"/>
            <w:noWrap/>
            <w:hideMark/>
          </w:tcPr>
          <w:p w:rsidR="00034ED3" w:rsidRPr="00034ED3" w:rsidRDefault="00034ED3" w:rsidP="00034ED3">
            <w:pPr>
              <w:rPr>
                <w:rFonts w:ascii="Calibri" w:eastAsia="Times New Roman" w:hAnsi="Calibri" w:cs="Times New Roman"/>
                <w:b/>
                <w:bCs/>
                <w:color w:val="000000"/>
                <w:sz w:val="28"/>
                <w:szCs w:val="28"/>
              </w:rPr>
            </w:pPr>
            <w:r w:rsidRPr="00034ED3">
              <w:rPr>
                <w:rFonts w:ascii="Calibri" w:eastAsia="Times New Roman" w:hAnsi="Calibri" w:cs="Times New Roman"/>
                <w:b/>
                <w:bCs/>
                <w:color w:val="000000"/>
                <w:sz w:val="28"/>
                <w:szCs w:val="28"/>
              </w:rPr>
              <w:t>Annualized tracking error to ALSI:</w:t>
            </w:r>
          </w:p>
        </w:tc>
        <w:tc>
          <w:tcPr>
            <w:tcW w:w="799"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34ED3">
              <w:rPr>
                <w:rFonts w:ascii="Calibri" w:eastAsia="Times New Roman" w:hAnsi="Calibri" w:cs="Times New Roman"/>
                <w:color w:val="000000"/>
              </w:rPr>
              <w:t>0.25062</w:t>
            </w:r>
          </w:p>
        </w:tc>
        <w:tc>
          <w:tcPr>
            <w:tcW w:w="987"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34ED3">
              <w:rPr>
                <w:rFonts w:ascii="Calibri" w:eastAsia="Times New Roman" w:hAnsi="Calibri" w:cs="Times New Roman"/>
                <w:color w:val="000000"/>
              </w:rPr>
              <w:t>0.37197</w:t>
            </w:r>
          </w:p>
        </w:tc>
      </w:tr>
      <w:tr w:rsidR="00034ED3" w:rsidRPr="00034ED3" w:rsidTr="00A96662">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230" w:type="dxa"/>
            <w:noWrap/>
            <w:hideMark/>
          </w:tcPr>
          <w:p w:rsidR="00034ED3" w:rsidRPr="00034ED3" w:rsidRDefault="00034ED3" w:rsidP="00034ED3">
            <w:pPr>
              <w:rPr>
                <w:rFonts w:ascii="Calibri" w:eastAsia="Times New Roman" w:hAnsi="Calibri" w:cs="Times New Roman"/>
                <w:b/>
                <w:bCs/>
                <w:color w:val="000000"/>
                <w:sz w:val="28"/>
                <w:szCs w:val="28"/>
              </w:rPr>
            </w:pPr>
            <w:r w:rsidRPr="00034ED3">
              <w:rPr>
                <w:rFonts w:ascii="Calibri" w:eastAsia="Times New Roman" w:hAnsi="Calibri" w:cs="Times New Roman"/>
                <w:b/>
                <w:bCs/>
                <w:color w:val="000000"/>
                <w:sz w:val="28"/>
                <w:szCs w:val="28"/>
              </w:rPr>
              <w:t>Concentration:</w:t>
            </w:r>
          </w:p>
        </w:tc>
        <w:tc>
          <w:tcPr>
            <w:tcW w:w="799"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34ED3">
              <w:rPr>
                <w:rFonts w:ascii="Calibri" w:eastAsia="Times New Roman" w:hAnsi="Calibri" w:cs="Times New Roman"/>
                <w:color w:val="000000"/>
              </w:rPr>
              <w:t>0.1</w:t>
            </w:r>
          </w:p>
        </w:tc>
        <w:tc>
          <w:tcPr>
            <w:tcW w:w="987"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34ED3">
              <w:rPr>
                <w:rFonts w:ascii="Calibri" w:eastAsia="Times New Roman" w:hAnsi="Calibri" w:cs="Times New Roman"/>
                <w:color w:val="000000"/>
              </w:rPr>
              <w:t>0.1</w:t>
            </w:r>
          </w:p>
        </w:tc>
      </w:tr>
    </w:tbl>
    <w:p w:rsidR="00034ED3" w:rsidRDefault="00034ED3" w:rsidP="00E96939"/>
    <w:p w:rsidR="00A96662" w:rsidRDefault="00A96662" w:rsidP="00E96939"/>
    <w:p w:rsidR="00775426" w:rsidRDefault="00775426" w:rsidP="00E96939">
      <w:r>
        <w:t>Question 3:</w:t>
      </w:r>
    </w:p>
    <w:tbl>
      <w:tblPr>
        <w:tblStyle w:val="PlainTable5"/>
        <w:tblW w:w="5974" w:type="dxa"/>
        <w:tblLook w:val="04A0" w:firstRow="1" w:lastRow="0" w:firstColumn="1" w:lastColumn="0" w:noHBand="0" w:noVBand="1"/>
      </w:tblPr>
      <w:tblGrid>
        <w:gridCol w:w="4230"/>
        <w:gridCol w:w="987"/>
        <w:gridCol w:w="987"/>
      </w:tblGrid>
      <w:tr w:rsidR="00034ED3" w:rsidRPr="00034ED3" w:rsidTr="00A96662">
        <w:trPr>
          <w:cnfStyle w:val="100000000000" w:firstRow="1" w:lastRow="0" w:firstColumn="0" w:lastColumn="0" w:oddVBand="0" w:evenVBand="0" w:oddHBand="0" w:evenHBand="0" w:firstRowFirstColumn="0" w:firstRowLastColumn="0" w:lastRowFirstColumn="0" w:lastRowLastColumn="0"/>
          <w:trHeight w:val="372"/>
        </w:trPr>
        <w:tc>
          <w:tcPr>
            <w:cnfStyle w:val="001000000100" w:firstRow="0" w:lastRow="0" w:firstColumn="1" w:lastColumn="0" w:oddVBand="0" w:evenVBand="0" w:oddHBand="0" w:evenHBand="0" w:firstRowFirstColumn="1" w:firstRowLastColumn="0" w:lastRowFirstColumn="0" w:lastRowLastColumn="0"/>
            <w:tcW w:w="4230" w:type="dxa"/>
            <w:vMerge w:val="restart"/>
            <w:noWrap/>
            <w:hideMark/>
          </w:tcPr>
          <w:p w:rsidR="00034ED3" w:rsidRPr="00034ED3" w:rsidRDefault="00034ED3" w:rsidP="00034ED3">
            <w:pPr>
              <w:jc w:val="center"/>
              <w:rPr>
                <w:rFonts w:ascii="Calibri" w:eastAsia="Times New Roman" w:hAnsi="Calibri" w:cs="Times New Roman"/>
                <w:color w:val="000000"/>
              </w:rPr>
            </w:pPr>
            <w:r w:rsidRPr="00034ED3">
              <w:rPr>
                <w:rFonts w:ascii="Calibri" w:eastAsia="Times New Roman" w:hAnsi="Calibri" w:cs="Times New Roman"/>
                <w:color w:val="000000"/>
              </w:rPr>
              <w:t> </w:t>
            </w:r>
          </w:p>
        </w:tc>
        <w:tc>
          <w:tcPr>
            <w:tcW w:w="1744" w:type="dxa"/>
            <w:gridSpan w:val="2"/>
            <w:noWrap/>
            <w:hideMark/>
          </w:tcPr>
          <w:p w:rsidR="00034ED3" w:rsidRPr="00034ED3" w:rsidRDefault="00034ED3" w:rsidP="00034ED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8"/>
                <w:szCs w:val="28"/>
              </w:rPr>
            </w:pPr>
            <w:r w:rsidRPr="00034ED3">
              <w:rPr>
                <w:rFonts w:ascii="Calibri" w:eastAsia="Times New Roman" w:hAnsi="Calibri" w:cs="Times New Roman"/>
                <w:b/>
                <w:bCs/>
                <w:color w:val="000000"/>
                <w:sz w:val="28"/>
                <w:szCs w:val="28"/>
              </w:rPr>
              <w:t>Portfolio</w:t>
            </w:r>
          </w:p>
        </w:tc>
      </w:tr>
      <w:tr w:rsidR="00034ED3" w:rsidRPr="00034ED3" w:rsidTr="00A9666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4230" w:type="dxa"/>
            <w:vMerge/>
            <w:hideMark/>
          </w:tcPr>
          <w:p w:rsidR="00034ED3" w:rsidRPr="00034ED3" w:rsidRDefault="00034ED3" w:rsidP="00034ED3">
            <w:pPr>
              <w:rPr>
                <w:rFonts w:ascii="Calibri" w:eastAsia="Times New Roman" w:hAnsi="Calibri" w:cs="Times New Roman"/>
                <w:color w:val="000000"/>
              </w:rPr>
            </w:pPr>
          </w:p>
        </w:tc>
        <w:tc>
          <w:tcPr>
            <w:tcW w:w="757" w:type="dxa"/>
            <w:noWrap/>
            <w:hideMark/>
          </w:tcPr>
          <w:p w:rsidR="00034ED3" w:rsidRPr="00034ED3" w:rsidRDefault="00034ED3" w:rsidP="00034E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rPr>
            </w:pPr>
            <w:r w:rsidRPr="00034ED3">
              <w:rPr>
                <w:rFonts w:ascii="Calibri" w:eastAsia="Times New Roman" w:hAnsi="Calibri" w:cs="Times New Roman"/>
                <w:b/>
                <w:bCs/>
                <w:color w:val="000000"/>
                <w:sz w:val="28"/>
                <w:szCs w:val="28"/>
              </w:rPr>
              <w:t>A</w:t>
            </w:r>
          </w:p>
        </w:tc>
        <w:tc>
          <w:tcPr>
            <w:tcW w:w="987" w:type="dxa"/>
            <w:noWrap/>
            <w:hideMark/>
          </w:tcPr>
          <w:p w:rsidR="00034ED3" w:rsidRPr="00034ED3" w:rsidRDefault="00034ED3" w:rsidP="00034E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rPr>
            </w:pPr>
            <w:r w:rsidRPr="00034ED3">
              <w:rPr>
                <w:rFonts w:ascii="Calibri" w:eastAsia="Times New Roman" w:hAnsi="Calibri" w:cs="Times New Roman"/>
                <w:b/>
                <w:bCs/>
                <w:color w:val="000000"/>
                <w:sz w:val="28"/>
                <w:szCs w:val="28"/>
              </w:rPr>
              <w:t>B</w:t>
            </w:r>
          </w:p>
        </w:tc>
      </w:tr>
      <w:tr w:rsidR="00034ED3" w:rsidRPr="00034ED3" w:rsidTr="00A96662">
        <w:trPr>
          <w:trHeight w:val="372"/>
        </w:trPr>
        <w:tc>
          <w:tcPr>
            <w:cnfStyle w:val="001000000000" w:firstRow="0" w:lastRow="0" w:firstColumn="1" w:lastColumn="0" w:oddVBand="0" w:evenVBand="0" w:oddHBand="0" w:evenHBand="0" w:firstRowFirstColumn="0" w:firstRowLastColumn="0" w:lastRowFirstColumn="0" w:lastRowLastColumn="0"/>
            <w:tcW w:w="4230" w:type="dxa"/>
            <w:noWrap/>
            <w:hideMark/>
          </w:tcPr>
          <w:p w:rsidR="00034ED3" w:rsidRPr="00034ED3" w:rsidRDefault="00034ED3" w:rsidP="00034ED3">
            <w:pPr>
              <w:rPr>
                <w:rFonts w:ascii="Calibri" w:eastAsia="Times New Roman" w:hAnsi="Calibri" w:cs="Times New Roman"/>
                <w:b/>
                <w:bCs/>
                <w:color w:val="000000"/>
                <w:sz w:val="28"/>
                <w:szCs w:val="28"/>
              </w:rPr>
            </w:pPr>
            <w:r w:rsidRPr="00034ED3">
              <w:rPr>
                <w:rFonts w:ascii="Calibri" w:eastAsia="Times New Roman" w:hAnsi="Calibri" w:cs="Times New Roman"/>
                <w:b/>
                <w:bCs/>
                <w:color w:val="000000"/>
                <w:sz w:val="28"/>
                <w:szCs w:val="28"/>
              </w:rPr>
              <w:t>3 year return:</w:t>
            </w:r>
          </w:p>
        </w:tc>
        <w:tc>
          <w:tcPr>
            <w:tcW w:w="757"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34ED3">
              <w:rPr>
                <w:rFonts w:ascii="Calibri" w:eastAsia="Times New Roman" w:hAnsi="Calibri" w:cs="Times New Roman"/>
                <w:color w:val="000000"/>
              </w:rPr>
              <w:t>66.315%</w:t>
            </w:r>
          </w:p>
        </w:tc>
        <w:tc>
          <w:tcPr>
            <w:tcW w:w="987"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34ED3">
              <w:rPr>
                <w:rFonts w:ascii="Calibri" w:eastAsia="Times New Roman" w:hAnsi="Calibri" w:cs="Times New Roman"/>
                <w:color w:val="000000"/>
              </w:rPr>
              <w:t>41.201%</w:t>
            </w:r>
          </w:p>
        </w:tc>
      </w:tr>
      <w:tr w:rsidR="00034ED3" w:rsidRPr="00034ED3" w:rsidTr="00A96662">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230" w:type="dxa"/>
            <w:noWrap/>
            <w:hideMark/>
          </w:tcPr>
          <w:p w:rsidR="00034ED3" w:rsidRPr="00034ED3" w:rsidRDefault="00034ED3" w:rsidP="00034ED3">
            <w:pPr>
              <w:rPr>
                <w:rFonts w:ascii="Calibri" w:eastAsia="Times New Roman" w:hAnsi="Calibri" w:cs="Times New Roman"/>
                <w:b/>
                <w:bCs/>
                <w:color w:val="000000"/>
                <w:sz w:val="28"/>
                <w:szCs w:val="28"/>
              </w:rPr>
            </w:pPr>
            <w:r w:rsidRPr="00034ED3">
              <w:rPr>
                <w:rFonts w:ascii="Calibri" w:eastAsia="Times New Roman" w:hAnsi="Calibri" w:cs="Times New Roman"/>
                <w:b/>
                <w:bCs/>
                <w:color w:val="000000"/>
                <w:sz w:val="28"/>
                <w:szCs w:val="28"/>
              </w:rPr>
              <w:t>Beta:</w:t>
            </w:r>
          </w:p>
        </w:tc>
        <w:tc>
          <w:tcPr>
            <w:tcW w:w="757"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34ED3">
              <w:rPr>
                <w:rFonts w:ascii="Calibri" w:eastAsia="Times New Roman" w:hAnsi="Calibri" w:cs="Times New Roman"/>
                <w:color w:val="000000"/>
              </w:rPr>
              <w:t>0.96</w:t>
            </w:r>
          </w:p>
        </w:tc>
        <w:tc>
          <w:tcPr>
            <w:tcW w:w="987"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34ED3">
              <w:rPr>
                <w:rFonts w:ascii="Calibri" w:eastAsia="Times New Roman" w:hAnsi="Calibri" w:cs="Times New Roman"/>
                <w:color w:val="000000"/>
              </w:rPr>
              <w:t>0.71</w:t>
            </w:r>
          </w:p>
        </w:tc>
      </w:tr>
      <w:tr w:rsidR="00034ED3" w:rsidRPr="00034ED3" w:rsidTr="00A96662">
        <w:trPr>
          <w:trHeight w:val="360"/>
        </w:trPr>
        <w:tc>
          <w:tcPr>
            <w:cnfStyle w:val="001000000000" w:firstRow="0" w:lastRow="0" w:firstColumn="1" w:lastColumn="0" w:oddVBand="0" w:evenVBand="0" w:oddHBand="0" w:evenHBand="0" w:firstRowFirstColumn="0" w:firstRowLastColumn="0" w:lastRowFirstColumn="0" w:lastRowLastColumn="0"/>
            <w:tcW w:w="4230" w:type="dxa"/>
            <w:noWrap/>
            <w:hideMark/>
          </w:tcPr>
          <w:p w:rsidR="00034ED3" w:rsidRPr="00034ED3" w:rsidRDefault="00034ED3" w:rsidP="00034ED3">
            <w:pPr>
              <w:rPr>
                <w:rFonts w:ascii="Calibri" w:eastAsia="Times New Roman" w:hAnsi="Calibri" w:cs="Times New Roman"/>
                <w:b/>
                <w:bCs/>
                <w:color w:val="000000"/>
                <w:sz w:val="28"/>
                <w:szCs w:val="28"/>
              </w:rPr>
            </w:pPr>
            <w:r w:rsidRPr="00034ED3">
              <w:rPr>
                <w:rFonts w:ascii="Calibri" w:eastAsia="Times New Roman" w:hAnsi="Calibri" w:cs="Times New Roman"/>
                <w:b/>
                <w:bCs/>
                <w:color w:val="000000"/>
                <w:sz w:val="28"/>
                <w:szCs w:val="28"/>
              </w:rPr>
              <w:t>Reliability of beta:</w:t>
            </w:r>
          </w:p>
        </w:tc>
        <w:tc>
          <w:tcPr>
            <w:tcW w:w="757"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34ED3">
              <w:rPr>
                <w:rFonts w:ascii="Calibri" w:eastAsia="Times New Roman" w:hAnsi="Calibri" w:cs="Times New Roman"/>
                <w:color w:val="000000"/>
              </w:rPr>
              <w:t>0.09134</w:t>
            </w:r>
          </w:p>
        </w:tc>
        <w:tc>
          <w:tcPr>
            <w:tcW w:w="987"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34ED3">
              <w:rPr>
                <w:rFonts w:ascii="Calibri" w:eastAsia="Times New Roman" w:hAnsi="Calibri" w:cs="Times New Roman"/>
                <w:color w:val="000000"/>
              </w:rPr>
              <w:t>0.08423</w:t>
            </w:r>
          </w:p>
        </w:tc>
      </w:tr>
      <w:tr w:rsidR="00034ED3" w:rsidRPr="00034ED3" w:rsidTr="00A96662">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230" w:type="dxa"/>
            <w:noWrap/>
            <w:hideMark/>
          </w:tcPr>
          <w:p w:rsidR="00034ED3" w:rsidRPr="00034ED3" w:rsidRDefault="00034ED3" w:rsidP="00034ED3">
            <w:pPr>
              <w:rPr>
                <w:rFonts w:ascii="Calibri" w:eastAsia="Times New Roman" w:hAnsi="Calibri" w:cs="Times New Roman"/>
                <w:b/>
                <w:bCs/>
                <w:color w:val="000000"/>
                <w:sz w:val="28"/>
                <w:szCs w:val="28"/>
              </w:rPr>
            </w:pPr>
            <w:r w:rsidRPr="00034ED3">
              <w:rPr>
                <w:rFonts w:ascii="Calibri" w:eastAsia="Times New Roman" w:hAnsi="Calibri" w:cs="Times New Roman"/>
                <w:b/>
                <w:bCs/>
                <w:color w:val="000000"/>
                <w:sz w:val="28"/>
                <w:szCs w:val="28"/>
              </w:rPr>
              <w:t>Annualized Standard deviation:</w:t>
            </w:r>
          </w:p>
        </w:tc>
        <w:tc>
          <w:tcPr>
            <w:tcW w:w="757"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34ED3">
              <w:rPr>
                <w:rFonts w:ascii="Calibri" w:eastAsia="Times New Roman" w:hAnsi="Calibri" w:cs="Times New Roman"/>
                <w:color w:val="000000"/>
              </w:rPr>
              <w:t>0.16341</w:t>
            </w:r>
          </w:p>
        </w:tc>
        <w:tc>
          <w:tcPr>
            <w:tcW w:w="987"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34ED3">
              <w:rPr>
                <w:rFonts w:ascii="Calibri" w:eastAsia="Times New Roman" w:hAnsi="Calibri" w:cs="Times New Roman"/>
                <w:color w:val="000000"/>
              </w:rPr>
              <w:t>0.14639</w:t>
            </w:r>
          </w:p>
        </w:tc>
      </w:tr>
      <w:tr w:rsidR="00034ED3" w:rsidRPr="00034ED3" w:rsidTr="00A96662">
        <w:trPr>
          <w:trHeight w:val="360"/>
        </w:trPr>
        <w:tc>
          <w:tcPr>
            <w:cnfStyle w:val="001000000000" w:firstRow="0" w:lastRow="0" w:firstColumn="1" w:lastColumn="0" w:oddVBand="0" w:evenVBand="0" w:oddHBand="0" w:evenHBand="0" w:firstRowFirstColumn="0" w:firstRowLastColumn="0" w:lastRowFirstColumn="0" w:lastRowLastColumn="0"/>
            <w:tcW w:w="4230" w:type="dxa"/>
            <w:noWrap/>
            <w:hideMark/>
          </w:tcPr>
          <w:p w:rsidR="00034ED3" w:rsidRPr="00034ED3" w:rsidRDefault="00034ED3" w:rsidP="00034ED3">
            <w:pPr>
              <w:rPr>
                <w:rFonts w:ascii="Calibri" w:eastAsia="Times New Roman" w:hAnsi="Calibri" w:cs="Times New Roman"/>
                <w:b/>
                <w:bCs/>
                <w:color w:val="000000"/>
                <w:sz w:val="28"/>
                <w:szCs w:val="28"/>
              </w:rPr>
            </w:pPr>
            <w:r w:rsidRPr="00034ED3">
              <w:rPr>
                <w:rFonts w:ascii="Calibri" w:eastAsia="Times New Roman" w:hAnsi="Calibri" w:cs="Times New Roman"/>
                <w:b/>
                <w:bCs/>
                <w:color w:val="000000"/>
                <w:sz w:val="28"/>
                <w:szCs w:val="28"/>
              </w:rPr>
              <w:t>Annualized tracking error to ALSI:</w:t>
            </w:r>
          </w:p>
        </w:tc>
        <w:tc>
          <w:tcPr>
            <w:tcW w:w="757"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34ED3">
              <w:rPr>
                <w:rFonts w:ascii="Calibri" w:eastAsia="Times New Roman" w:hAnsi="Calibri" w:cs="Times New Roman"/>
                <w:color w:val="000000"/>
              </w:rPr>
              <w:t>0.27004</w:t>
            </w:r>
          </w:p>
        </w:tc>
        <w:tc>
          <w:tcPr>
            <w:tcW w:w="987" w:type="dxa"/>
            <w:noWrap/>
            <w:hideMark/>
          </w:tcPr>
          <w:p w:rsidR="00034ED3" w:rsidRPr="00034ED3" w:rsidRDefault="00034ED3" w:rsidP="00034ED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034ED3">
              <w:rPr>
                <w:rFonts w:ascii="Calibri" w:eastAsia="Times New Roman" w:hAnsi="Calibri" w:cs="Times New Roman"/>
                <w:color w:val="000000"/>
              </w:rPr>
              <w:t>0.37837</w:t>
            </w:r>
          </w:p>
        </w:tc>
      </w:tr>
      <w:tr w:rsidR="00034ED3" w:rsidRPr="00034ED3" w:rsidTr="00A96662">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230" w:type="dxa"/>
            <w:noWrap/>
            <w:hideMark/>
          </w:tcPr>
          <w:p w:rsidR="00034ED3" w:rsidRPr="00034ED3" w:rsidRDefault="00034ED3" w:rsidP="00034ED3">
            <w:pPr>
              <w:rPr>
                <w:rFonts w:ascii="Calibri" w:eastAsia="Times New Roman" w:hAnsi="Calibri" w:cs="Times New Roman"/>
                <w:b/>
                <w:bCs/>
                <w:color w:val="000000"/>
                <w:sz w:val="28"/>
                <w:szCs w:val="28"/>
              </w:rPr>
            </w:pPr>
            <w:r w:rsidRPr="00034ED3">
              <w:rPr>
                <w:rFonts w:ascii="Calibri" w:eastAsia="Times New Roman" w:hAnsi="Calibri" w:cs="Times New Roman"/>
                <w:b/>
                <w:bCs/>
                <w:color w:val="000000"/>
                <w:sz w:val="28"/>
                <w:szCs w:val="28"/>
              </w:rPr>
              <w:t>Concentration:</w:t>
            </w:r>
          </w:p>
        </w:tc>
        <w:tc>
          <w:tcPr>
            <w:tcW w:w="757"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34ED3">
              <w:rPr>
                <w:rFonts w:ascii="Calibri" w:eastAsia="Times New Roman" w:hAnsi="Calibri" w:cs="Times New Roman"/>
                <w:color w:val="000000"/>
              </w:rPr>
              <w:t>0.15262</w:t>
            </w:r>
          </w:p>
        </w:tc>
        <w:tc>
          <w:tcPr>
            <w:tcW w:w="987" w:type="dxa"/>
            <w:noWrap/>
            <w:hideMark/>
          </w:tcPr>
          <w:p w:rsidR="00034ED3" w:rsidRPr="00034ED3" w:rsidRDefault="00034ED3" w:rsidP="00034ED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034ED3">
              <w:rPr>
                <w:rFonts w:ascii="Calibri" w:eastAsia="Times New Roman" w:hAnsi="Calibri" w:cs="Times New Roman"/>
                <w:color w:val="000000"/>
              </w:rPr>
              <w:t>0.16118</w:t>
            </w:r>
          </w:p>
        </w:tc>
      </w:tr>
    </w:tbl>
    <w:p w:rsidR="00034ED3" w:rsidRDefault="00034ED3" w:rsidP="00E96939"/>
    <w:p w:rsidR="00775426" w:rsidRDefault="00775426" w:rsidP="00E96939">
      <w:r>
        <w:t>Comments:</w:t>
      </w:r>
    </w:p>
    <w:p w:rsidR="00775426" w:rsidRDefault="00775426" w:rsidP="00775426">
      <w:pPr>
        <w:pStyle w:val="ListParagraph"/>
        <w:numPr>
          <w:ilvl w:val="0"/>
          <w:numId w:val="2"/>
        </w:numPr>
      </w:pPr>
      <w:r>
        <w:t>The return of portfolio A is much greater under equal weighting than under weighting them according to their market cap.</w:t>
      </w:r>
    </w:p>
    <w:p w:rsidR="00775426" w:rsidRDefault="00775426" w:rsidP="00775426">
      <w:pPr>
        <w:pStyle w:val="ListParagraph"/>
        <w:numPr>
          <w:ilvl w:val="0"/>
          <w:numId w:val="2"/>
        </w:numPr>
      </w:pPr>
      <w:r>
        <w:t>The annualized standard deviation is less for both portfolio A and portfolio B under equally weighted share holdings.</w:t>
      </w:r>
    </w:p>
    <w:p w:rsidR="00775426" w:rsidRDefault="00775426" w:rsidP="00775426">
      <w:pPr>
        <w:pStyle w:val="ListParagraph"/>
        <w:numPr>
          <w:ilvl w:val="0"/>
          <w:numId w:val="2"/>
        </w:numPr>
      </w:pPr>
      <w:r>
        <w:t>The annualized tracking error with the ALSI is lower for both portfolios when the weightings are equal.</w:t>
      </w:r>
    </w:p>
    <w:p w:rsidR="00A96662" w:rsidRDefault="00A96662" w:rsidP="00775426">
      <w:pPr>
        <w:pStyle w:val="ListParagraph"/>
        <w:numPr>
          <w:ilvl w:val="0"/>
          <w:numId w:val="2"/>
        </w:numPr>
      </w:pPr>
      <w:r>
        <w:t xml:space="preserve">The returns are very high. This is due to the fact that </w:t>
      </w:r>
      <w:r w:rsidR="00B565DC">
        <w:t>we are focusing on a 3-year period which means there is a lot of time for share prices to rise (or fall).</w:t>
      </w:r>
    </w:p>
    <w:p w:rsidR="00775426" w:rsidRDefault="00775426" w:rsidP="00775426">
      <w:r>
        <w:t>Findings:</w:t>
      </w:r>
    </w:p>
    <w:p w:rsidR="00D73D70" w:rsidRDefault="00775426" w:rsidP="00775426">
      <w:r>
        <w:t xml:space="preserve">For my particular choice of shares, the statistics suggest that the equally weighted portfolios are less risky and follow the benchmark (ALSI) more </w:t>
      </w:r>
      <w:r w:rsidR="00FB1656">
        <w:t>closely.</w:t>
      </w:r>
      <w:r w:rsidR="00D73D70">
        <w:t xml:space="preserve"> The fact that the equally weighted portfolios are less risky is consistent with the theory. </w:t>
      </w:r>
    </w:p>
    <w:p w:rsidR="005A5030" w:rsidRDefault="005A5030" w:rsidP="00775426"/>
    <w:p w:rsidR="005A5030" w:rsidRDefault="005A5030" w:rsidP="00775426">
      <w:r>
        <w:lastRenderedPageBreak/>
        <w:t>A clearer view</w:t>
      </w:r>
      <w:r w:rsidR="00C458B3">
        <w:t xml:space="preserve"> (Question 5a continued)</w:t>
      </w:r>
      <w:r>
        <w:t>:</w:t>
      </w:r>
    </w:p>
    <w:p w:rsidR="005A5030" w:rsidRDefault="005A5030" w:rsidP="00775426">
      <w:r>
        <w:rPr>
          <w:noProof/>
        </w:rPr>
        <w:drawing>
          <wp:anchor distT="0" distB="0" distL="114300" distR="114300" simplePos="0" relativeHeight="251659264" behindDoc="0" locked="0" layoutInCell="1" allowOverlap="1" wp14:anchorId="1A901526" wp14:editId="248820A8">
            <wp:simplePos x="0" y="0"/>
            <wp:positionH relativeFrom="column">
              <wp:posOffset>685800</wp:posOffset>
            </wp:positionH>
            <wp:positionV relativeFrom="paragraph">
              <wp:posOffset>6292</wp:posOffset>
            </wp:positionV>
            <wp:extent cx="4533900" cy="3261360"/>
            <wp:effectExtent l="0" t="0" r="0" b="15240"/>
            <wp:wrapNone/>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775426">
        <w:t xml:space="preserve">  </w:t>
      </w:r>
    </w:p>
    <w:p w:rsidR="005A5030" w:rsidRPr="005A5030" w:rsidRDefault="005A5030" w:rsidP="005A5030"/>
    <w:p w:rsidR="005A5030" w:rsidRPr="005A5030" w:rsidRDefault="005A5030" w:rsidP="005A5030"/>
    <w:p w:rsidR="005A5030" w:rsidRPr="005A5030" w:rsidRDefault="005A5030" w:rsidP="005A5030"/>
    <w:p w:rsidR="005A5030" w:rsidRPr="005A5030" w:rsidRDefault="005A5030" w:rsidP="005A5030"/>
    <w:p w:rsidR="005A5030" w:rsidRPr="005A5030" w:rsidRDefault="005A5030" w:rsidP="005A5030"/>
    <w:p w:rsidR="005A5030" w:rsidRPr="005A5030" w:rsidRDefault="005A5030" w:rsidP="005A5030"/>
    <w:p w:rsidR="005A5030" w:rsidRPr="005A5030" w:rsidRDefault="005A5030" w:rsidP="005A5030"/>
    <w:p w:rsidR="005A5030" w:rsidRPr="005A5030" w:rsidRDefault="005A5030" w:rsidP="005A5030"/>
    <w:p w:rsidR="005A5030" w:rsidRPr="005A5030" w:rsidRDefault="005A5030" w:rsidP="005A5030"/>
    <w:p w:rsidR="005A5030" w:rsidRPr="005A5030" w:rsidRDefault="005A5030" w:rsidP="005A5030"/>
    <w:p w:rsidR="005A5030" w:rsidRDefault="005A5030" w:rsidP="005A5030"/>
    <w:p w:rsidR="003240F2" w:rsidRDefault="003240F2" w:rsidP="005A5030"/>
    <w:p w:rsidR="00775426" w:rsidRDefault="005A5030" w:rsidP="005A5030">
      <w:r>
        <w:t>Question 5b:</w:t>
      </w:r>
      <w:r w:rsidR="00DF1200">
        <w:t xml:space="preserve"> </w:t>
      </w:r>
      <w:r w:rsidR="00DF1200">
        <w:rPr>
          <w:b/>
        </w:rPr>
        <w:t>Equal W</w:t>
      </w:r>
      <w:r w:rsidR="00DF1200" w:rsidRPr="00DF1200">
        <w:rPr>
          <w:b/>
        </w:rPr>
        <w:t>eighting</w:t>
      </w:r>
    </w:p>
    <w:p w:rsidR="005A5030" w:rsidRDefault="005A5030" w:rsidP="005A5030">
      <w:r>
        <w:t>The correlation coefficient for portfolio A</w:t>
      </w:r>
      <w:r w:rsidR="00C458B3">
        <w:t xml:space="preserve"> and B using equally weighted </w:t>
      </w:r>
      <w:proofErr w:type="spellStart"/>
      <w:r w:rsidR="00C458B3">
        <w:t>share holdings</w:t>
      </w:r>
      <w:proofErr w:type="spellEnd"/>
      <w:r>
        <w:t xml:space="preserve"> was calculated to </w:t>
      </w:r>
      <w:proofErr w:type="gramStart"/>
      <w:r>
        <w:t xml:space="preserve">be </w:t>
      </w:r>
      <w:proofErr w:type="gramEnd"/>
      <m:oMath>
        <m:r>
          <w:rPr>
            <w:rFonts w:ascii="Cambria Math" w:hAnsi="Cambria Math"/>
          </w:rPr>
          <m:t>ρ=0.637012</m:t>
        </m:r>
      </m:oMath>
      <w:r>
        <w:rPr>
          <w:rFonts w:eastAsiaTheme="minorEastAsia"/>
        </w:rPr>
        <w:t>.</w:t>
      </w:r>
    </w:p>
    <w:p w:rsidR="005A5030" w:rsidRDefault="00DF1200" w:rsidP="005A5030">
      <w:r>
        <w:t>The m</w:t>
      </w:r>
      <w:r w:rsidR="005A5030">
        <w:t>inimum variance portfolio combination (by analytical calculation)</w:t>
      </w:r>
      <w:r>
        <w:t xml:space="preserve"> returned the following optimal weighting</w:t>
      </w:r>
      <w:r w:rsidR="005A5030">
        <w:t>:</w:t>
      </w:r>
    </w:p>
    <w:tbl>
      <w:tblPr>
        <w:tblStyle w:val="TableGridLight"/>
        <w:tblW w:w="0" w:type="auto"/>
        <w:jc w:val="center"/>
        <w:tblLook w:val="04A0" w:firstRow="1" w:lastRow="0" w:firstColumn="1" w:lastColumn="0" w:noHBand="0" w:noVBand="1"/>
      </w:tblPr>
      <w:tblGrid>
        <w:gridCol w:w="5665"/>
        <w:gridCol w:w="810"/>
      </w:tblGrid>
      <w:tr w:rsidR="005A5030" w:rsidTr="00C458B3">
        <w:trPr>
          <w:jc w:val="center"/>
        </w:trPr>
        <w:tc>
          <w:tcPr>
            <w:tcW w:w="5665" w:type="dxa"/>
          </w:tcPr>
          <w:p w:rsidR="005A5030" w:rsidRDefault="005A5030" w:rsidP="005A5030">
            <w:r>
              <w:t>Weight of investment in portfolio A:</w:t>
            </w:r>
          </w:p>
        </w:tc>
        <w:tc>
          <w:tcPr>
            <w:tcW w:w="810" w:type="dxa"/>
          </w:tcPr>
          <w:p w:rsidR="005A5030" w:rsidRDefault="005A5030" w:rsidP="005A5030">
            <w:r>
              <w:t>0.44</w:t>
            </w:r>
          </w:p>
        </w:tc>
      </w:tr>
      <w:tr w:rsidR="005A5030" w:rsidTr="00C458B3">
        <w:trPr>
          <w:jc w:val="center"/>
        </w:trPr>
        <w:tc>
          <w:tcPr>
            <w:tcW w:w="5665" w:type="dxa"/>
          </w:tcPr>
          <w:p w:rsidR="005A5030" w:rsidRDefault="005A5030" w:rsidP="005A5030">
            <w:r>
              <w:t>Weight of investment in portfolio B:</w:t>
            </w:r>
          </w:p>
        </w:tc>
        <w:tc>
          <w:tcPr>
            <w:tcW w:w="810" w:type="dxa"/>
          </w:tcPr>
          <w:p w:rsidR="005A5030" w:rsidRDefault="005A5030" w:rsidP="005A5030">
            <w:r>
              <w:t>0.56</w:t>
            </w:r>
          </w:p>
        </w:tc>
      </w:tr>
    </w:tbl>
    <w:p w:rsidR="005A5030" w:rsidRDefault="005A5030" w:rsidP="005A5030"/>
    <w:p w:rsidR="005A5030" w:rsidRDefault="005A5030" w:rsidP="005A5030">
      <w:r>
        <w:t>This combination gives a return of 73.11%</w:t>
      </w:r>
      <w:r w:rsidR="00DF1200">
        <w:t xml:space="preserve"> over the 3-year period</w:t>
      </w:r>
      <w:r>
        <w:t>.</w:t>
      </w:r>
    </w:p>
    <w:p w:rsidR="00DF1200" w:rsidRDefault="00DF1200"/>
    <w:p w:rsidR="00C458B3" w:rsidRDefault="00DF1200">
      <w:r>
        <w:t>Please see appendix 1 for tabulated working of varying the investment proportions by 10% in the equally weighted portfolios.</w:t>
      </w:r>
      <w:r w:rsidR="00C458B3">
        <w:br w:type="page"/>
      </w:r>
    </w:p>
    <w:p w:rsidR="00C458B3" w:rsidRDefault="00C458B3" w:rsidP="005A5030">
      <w:r>
        <w:rPr>
          <w:noProof/>
        </w:rPr>
        <w:lastRenderedPageBreak/>
        <w:drawing>
          <wp:anchor distT="0" distB="0" distL="114300" distR="114300" simplePos="0" relativeHeight="251661312" behindDoc="0" locked="0" layoutInCell="1" allowOverlap="1" wp14:anchorId="70B28144" wp14:editId="0B160E22">
            <wp:simplePos x="0" y="0"/>
            <wp:positionH relativeFrom="column">
              <wp:posOffset>616008</wp:posOffset>
            </wp:positionH>
            <wp:positionV relativeFrom="paragraph">
              <wp:posOffset>285115</wp:posOffset>
            </wp:positionV>
            <wp:extent cx="4584700" cy="2755900"/>
            <wp:effectExtent l="0" t="0" r="6350" b="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anchor>
        </w:drawing>
      </w:r>
      <w:r>
        <w:t>A clearer view (Question 5c (a) continued):</w:t>
      </w:r>
    </w:p>
    <w:p w:rsidR="00C458B3" w:rsidRDefault="00C458B3" w:rsidP="005A5030"/>
    <w:p w:rsidR="00C458B3" w:rsidRPr="00C458B3" w:rsidRDefault="00C458B3" w:rsidP="00C458B3"/>
    <w:p w:rsidR="00C458B3" w:rsidRPr="00C458B3" w:rsidRDefault="00C458B3" w:rsidP="00C458B3"/>
    <w:p w:rsidR="00C458B3" w:rsidRPr="00C458B3" w:rsidRDefault="00C458B3" w:rsidP="00C458B3"/>
    <w:p w:rsidR="00C458B3" w:rsidRPr="00C458B3" w:rsidRDefault="00C458B3" w:rsidP="00C458B3"/>
    <w:p w:rsidR="00C458B3" w:rsidRPr="00C458B3" w:rsidRDefault="00C458B3" w:rsidP="00C458B3"/>
    <w:p w:rsidR="00C458B3" w:rsidRPr="00C458B3" w:rsidRDefault="00C458B3" w:rsidP="00C458B3"/>
    <w:p w:rsidR="00C458B3" w:rsidRPr="00C458B3" w:rsidRDefault="00C458B3" w:rsidP="00C458B3"/>
    <w:p w:rsidR="00C458B3" w:rsidRDefault="00C458B3" w:rsidP="00C458B3"/>
    <w:p w:rsidR="00C458B3" w:rsidRDefault="00C458B3" w:rsidP="00C458B3">
      <w:pPr>
        <w:jc w:val="right"/>
      </w:pPr>
    </w:p>
    <w:p w:rsidR="00C458B3" w:rsidRDefault="00C458B3" w:rsidP="00C458B3">
      <w:pPr>
        <w:jc w:val="right"/>
      </w:pPr>
    </w:p>
    <w:p w:rsidR="003240F2" w:rsidRDefault="003240F2" w:rsidP="00C458B3"/>
    <w:p w:rsidR="00C458B3" w:rsidRDefault="00C458B3" w:rsidP="00C458B3">
      <w:r>
        <w:t>Question 5c (b):</w:t>
      </w:r>
      <w:r w:rsidR="00DF1200">
        <w:t xml:space="preserve"> </w:t>
      </w:r>
      <w:r w:rsidR="00DF1200" w:rsidRPr="00DF1200">
        <w:rPr>
          <w:b/>
        </w:rPr>
        <w:t>Market Cap Weighting</w:t>
      </w:r>
    </w:p>
    <w:p w:rsidR="00DF1200" w:rsidRDefault="00DF1200" w:rsidP="00DF1200">
      <w:r>
        <w:t>The correlation coefficient for portfolio A</w:t>
      </w:r>
      <w:r>
        <w:t xml:space="preserve"> and B using market cap</w:t>
      </w:r>
      <w:r>
        <w:t xml:space="preserve"> weighted </w:t>
      </w:r>
      <w:proofErr w:type="spellStart"/>
      <w:r>
        <w:t>share holdings</w:t>
      </w:r>
      <w:proofErr w:type="spellEnd"/>
      <w:r>
        <w:t xml:space="preserve"> was calculated to </w:t>
      </w:r>
      <w:proofErr w:type="gramStart"/>
      <w:r>
        <w:t xml:space="preserve">be </w:t>
      </w:r>
      <w:proofErr w:type="gramEnd"/>
      <m:oMath>
        <m:r>
          <w:rPr>
            <w:rFonts w:ascii="Cambria Math" w:hAnsi="Cambria Math"/>
          </w:rPr>
          <m:t>ρ=0.6</m:t>
        </m:r>
        <m:r>
          <w:rPr>
            <w:rFonts w:ascii="Cambria Math" w:hAnsi="Cambria Math"/>
          </w:rPr>
          <m:t>1</m:t>
        </m:r>
        <m:r>
          <w:rPr>
            <w:rFonts w:ascii="Cambria Math" w:hAnsi="Cambria Math"/>
          </w:rPr>
          <m:t>3</m:t>
        </m:r>
        <m:r>
          <w:rPr>
            <w:rFonts w:ascii="Cambria Math" w:hAnsi="Cambria Math"/>
          </w:rPr>
          <m:t>273</m:t>
        </m:r>
      </m:oMath>
      <w:r>
        <w:rPr>
          <w:rFonts w:eastAsiaTheme="minorEastAsia"/>
        </w:rPr>
        <w:t>.</w:t>
      </w:r>
    </w:p>
    <w:p w:rsidR="00DF1200" w:rsidRDefault="00DF1200" w:rsidP="00DF1200">
      <w:r>
        <w:t>The minimum variance portfolio combination (by analytical calculation) returned the following optimal weighting:</w:t>
      </w:r>
    </w:p>
    <w:tbl>
      <w:tblPr>
        <w:tblStyle w:val="TableGridLight"/>
        <w:tblW w:w="0" w:type="auto"/>
        <w:jc w:val="center"/>
        <w:tblLook w:val="04A0" w:firstRow="1" w:lastRow="0" w:firstColumn="1" w:lastColumn="0" w:noHBand="0" w:noVBand="1"/>
      </w:tblPr>
      <w:tblGrid>
        <w:gridCol w:w="5665"/>
        <w:gridCol w:w="810"/>
      </w:tblGrid>
      <w:tr w:rsidR="00DF1200" w:rsidTr="007D4B82">
        <w:trPr>
          <w:jc w:val="center"/>
        </w:trPr>
        <w:tc>
          <w:tcPr>
            <w:tcW w:w="5665" w:type="dxa"/>
          </w:tcPr>
          <w:p w:rsidR="00DF1200" w:rsidRDefault="00DF1200" w:rsidP="007D4B82">
            <w:r>
              <w:t>Weight of investment in portfolio A:</w:t>
            </w:r>
          </w:p>
        </w:tc>
        <w:tc>
          <w:tcPr>
            <w:tcW w:w="810" w:type="dxa"/>
          </w:tcPr>
          <w:p w:rsidR="00DF1200" w:rsidRDefault="00DF1200" w:rsidP="007D4B82">
            <w:r>
              <w:t>0.36</w:t>
            </w:r>
          </w:p>
        </w:tc>
      </w:tr>
      <w:tr w:rsidR="00DF1200" w:rsidTr="007D4B82">
        <w:trPr>
          <w:jc w:val="center"/>
        </w:trPr>
        <w:tc>
          <w:tcPr>
            <w:tcW w:w="5665" w:type="dxa"/>
          </w:tcPr>
          <w:p w:rsidR="00DF1200" w:rsidRDefault="00DF1200" w:rsidP="007D4B82">
            <w:r>
              <w:t>Weight of investment in portfolio B:</w:t>
            </w:r>
          </w:p>
        </w:tc>
        <w:tc>
          <w:tcPr>
            <w:tcW w:w="810" w:type="dxa"/>
          </w:tcPr>
          <w:p w:rsidR="00DF1200" w:rsidRDefault="00DF1200" w:rsidP="007D4B82">
            <w:r>
              <w:t>0.64</w:t>
            </w:r>
          </w:p>
        </w:tc>
      </w:tr>
    </w:tbl>
    <w:p w:rsidR="00DF1200" w:rsidRDefault="00DF1200" w:rsidP="00DF1200"/>
    <w:p w:rsidR="00DF1200" w:rsidRDefault="00DF1200" w:rsidP="00DF1200">
      <w:r>
        <w:t xml:space="preserve">This </w:t>
      </w:r>
      <w:r>
        <w:t>combination gives a return of 50.24</w:t>
      </w:r>
      <w:r>
        <w:t>% over the 3-year period.</w:t>
      </w:r>
    </w:p>
    <w:p w:rsidR="00DF1200" w:rsidRDefault="00DF1200" w:rsidP="00C458B3"/>
    <w:p w:rsidR="00C458B3" w:rsidRDefault="00DF1200" w:rsidP="00DF1200">
      <w:r>
        <w:t>Please see appendix 2</w:t>
      </w:r>
      <w:r>
        <w:t xml:space="preserve"> for tabulated working of varying the investment </w:t>
      </w:r>
      <w:r>
        <w:t>proportions by 10% in the market cap</w:t>
      </w:r>
      <w:r>
        <w:t xml:space="preserve"> weighted portfolios.</w:t>
      </w:r>
    </w:p>
    <w:p w:rsidR="008834E5" w:rsidRDefault="008834E5" w:rsidP="00DF1200"/>
    <w:p w:rsidR="008834E5" w:rsidRDefault="008834E5">
      <w:r>
        <w:br w:type="page"/>
      </w:r>
    </w:p>
    <w:p w:rsidR="008834E5" w:rsidRDefault="008834E5" w:rsidP="00DF1200">
      <w:r>
        <w:lastRenderedPageBreak/>
        <w:t>Question 6d:</w:t>
      </w:r>
    </w:p>
    <w:p w:rsidR="00B565DC" w:rsidRDefault="00B565DC" w:rsidP="00DF1200"/>
    <w:p w:rsidR="008834E5" w:rsidRDefault="003D1F00" w:rsidP="00DF1200">
      <w:r>
        <w:t>Comments and findings:</w:t>
      </w:r>
    </w:p>
    <w:p w:rsidR="003D1F00" w:rsidRDefault="006A041B" w:rsidP="00FD644F">
      <w:pPr>
        <w:pStyle w:val="ListParagraph"/>
        <w:numPr>
          <w:ilvl w:val="0"/>
          <w:numId w:val="3"/>
        </w:numPr>
        <w:spacing w:after="0"/>
      </w:pPr>
      <w:r>
        <w:t>The efficient frontier lies well above the four portfolios on the risk-return plane. Given that my share selection was random, I did not have expectations of any of the portfolios being efficient.</w:t>
      </w:r>
    </w:p>
    <w:p w:rsidR="00FD644F" w:rsidRDefault="00FD644F" w:rsidP="00FD644F">
      <w:pPr>
        <w:pStyle w:val="ListParagraph"/>
        <w:spacing w:after="0"/>
      </w:pPr>
    </w:p>
    <w:p w:rsidR="00FD644F" w:rsidRDefault="006A041B" w:rsidP="00FD644F">
      <w:pPr>
        <w:pStyle w:val="ListParagraph"/>
        <w:numPr>
          <w:ilvl w:val="0"/>
          <w:numId w:val="3"/>
        </w:numPr>
        <w:spacing w:after="0"/>
      </w:pPr>
      <w:r>
        <w:t xml:space="preserve">The portfolios are </w:t>
      </w:r>
      <w:r w:rsidR="00BD3365">
        <w:t xml:space="preserve">provide much </w:t>
      </w:r>
      <w:r>
        <w:t>low</w:t>
      </w:r>
      <w:r w:rsidR="00BD3365">
        <w:t>er</w:t>
      </w:r>
      <w:r>
        <w:t xml:space="preserve"> return</w:t>
      </w:r>
      <w:r w:rsidR="00BD3365">
        <w:t>s</w:t>
      </w:r>
      <w:r>
        <w:t xml:space="preserve"> </w:t>
      </w:r>
      <w:r w:rsidR="00BD3365">
        <w:t>than</w:t>
      </w:r>
      <w:r>
        <w:t xml:space="preserve"> the other portfolios along the efficient frontier</w:t>
      </w:r>
      <w:r w:rsidR="00BD3365">
        <w:t xml:space="preserve"> for the same level of risk</w:t>
      </w:r>
      <w:r>
        <w:t>.</w:t>
      </w:r>
    </w:p>
    <w:p w:rsidR="00FD644F" w:rsidRDefault="00FD644F" w:rsidP="00FD644F">
      <w:pPr>
        <w:spacing w:after="0"/>
      </w:pPr>
    </w:p>
    <w:p w:rsidR="009A47BF" w:rsidRDefault="00B565DC" w:rsidP="00FD644F">
      <w:pPr>
        <w:pStyle w:val="ListParagraph"/>
        <w:numPr>
          <w:ilvl w:val="0"/>
          <w:numId w:val="3"/>
        </w:numPr>
        <w:spacing w:after="0"/>
      </w:pPr>
      <w:r>
        <w:t>The weightings of the 20 share universe in the optimal portfolio suggest that investing in only a specific</w:t>
      </w:r>
      <w:r w:rsidR="00BD3365">
        <w:t xml:space="preserve"> 7</w:t>
      </w:r>
      <w:r>
        <w:t xml:space="preserve"> of the 20 shares was more efficient than investing in all of the shares. </w:t>
      </w:r>
    </w:p>
    <w:p w:rsidR="00FD644F" w:rsidRDefault="00FD644F" w:rsidP="00FD644F">
      <w:pPr>
        <w:spacing w:after="0"/>
      </w:pPr>
    </w:p>
    <w:p w:rsidR="00BD3365" w:rsidRDefault="00BD3365" w:rsidP="00FD644F">
      <w:pPr>
        <w:pStyle w:val="ListParagraph"/>
        <w:numPr>
          <w:ilvl w:val="0"/>
          <w:numId w:val="3"/>
        </w:numPr>
        <w:spacing w:after="0"/>
      </w:pPr>
      <w:r>
        <w:t xml:space="preserve">As we have seen earlier, the market cap weighted portfolios are riskier than the portfolios holding shares in equal weighting. The returns from the market cap weighted portfolios are also not better (on average) than the portfolios with equally weighted share holdings. </w:t>
      </w:r>
    </w:p>
    <w:p w:rsidR="00FD644F" w:rsidRDefault="00FD644F" w:rsidP="00FD644F">
      <w:pPr>
        <w:spacing w:after="0"/>
      </w:pPr>
    </w:p>
    <w:p w:rsidR="00FD644F" w:rsidRDefault="00FD644F" w:rsidP="00FD644F">
      <w:pPr>
        <w:pStyle w:val="ListParagraph"/>
        <w:numPr>
          <w:ilvl w:val="0"/>
          <w:numId w:val="3"/>
        </w:numPr>
        <w:spacing w:after="0"/>
      </w:pPr>
      <w:r>
        <w:t>The optimal portfolio has both a higher return and a lower risk than the four portfolios I have constructed.</w:t>
      </w:r>
    </w:p>
    <w:p w:rsidR="00EC055F" w:rsidRDefault="00EC055F">
      <w:r>
        <w:br w:type="page"/>
      </w:r>
    </w:p>
    <w:p w:rsidR="00EC055F" w:rsidRDefault="00EC055F" w:rsidP="00EC055F">
      <w:pPr>
        <w:rPr>
          <w:b/>
          <w:u w:val="single"/>
        </w:rPr>
      </w:pPr>
      <w:r w:rsidRPr="00EC055F">
        <w:rPr>
          <w:b/>
          <w:u w:val="single"/>
        </w:rPr>
        <w:lastRenderedPageBreak/>
        <w:t>Appendices</w:t>
      </w:r>
    </w:p>
    <w:p w:rsidR="00EC055F" w:rsidRDefault="00EC055F" w:rsidP="00EC055F">
      <w:r w:rsidRPr="00EC055F">
        <w:t>Appendix 1</w:t>
      </w:r>
      <w:r>
        <w:t>:</w:t>
      </w:r>
    </w:p>
    <w:tbl>
      <w:tblPr>
        <w:tblStyle w:val="TableGridLight"/>
        <w:tblW w:w="4225" w:type="dxa"/>
        <w:jc w:val="center"/>
        <w:tblLook w:val="04A0" w:firstRow="1" w:lastRow="0" w:firstColumn="1" w:lastColumn="0" w:noHBand="0" w:noVBand="1"/>
      </w:tblPr>
      <w:tblGrid>
        <w:gridCol w:w="980"/>
        <w:gridCol w:w="960"/>
        <w:gridCol w:w="1053"/>
        <w:gridCol w:w="1232"/>
      </w:tblGrid>
      <w:tr w:rsidR="00EC055F" w:rsidRPr="00EC055F" w:rsidTr="00EC055F">
        <w:trPr>
          <w:trHeight w:val="600"/>
          <w:jc w:val="center"/>
        </w:trPr>
        <w:tc>
          <w:tcPr>
            <w:tcW w:w="980" w:type="dxa"/>
            <w:hideMark/>
          </w:tcPr>
          <w:p w:rsidR="00EC055F" w:rsidRPr="00EC055F" w:rsidRDefault="00EC055F" w:rsidP="00EC055F">
            <w:pPr>
              <w:jc w:val="center"/>
              <w:rPr>
                <w:rFonts w:ascii="Calibri" w:eastAsia="Times New Roman" w:hAnsi="Calibri" w:cs="Times New Roman"/>
                <w:color w:val="000000"/>
              </w:rPr>
            </w:pPr>
            <w:r w:rsidRPr="00EC055F">
              <w:rPr>
                <w:rFonts w:ascii="Calibri" w:eastAsia="Times New Roman" w:hAnsi="Calibri" w:cs="Times New Roman"/>
                <w:color w:val="000000"/>
              </w:rPr>
              <w:t>Weight in A</w:t>
            </w:r>
          </w:p>
        </w:tc>
        <w:tc>
          <w:tcPr>
            <w:tcW w:w="960" w:type="dxa"/>
            <w:hideMark/>
          </w:tcPr>
          <w:p w:rsidR="00EC055F" w:rsidRPr="00EC055F" w:rsidRDefault="00EC055F" w:rsidP="00EC055F">
            <w:pPr>
              <w:jc w:val="center"/>
              <w:rPr>
                <w:rFonts w:ascii="Calibri" w:eastAsia="Times New Roman" w:hAnsi="Calibri" w:cs="Times New Roman"/>
                <w:color w:val="000000"/>
              </w:rPr>
            </w:pPr>
            <w:r w:rsidRPr="00EC055F">
              <w:rPr>
                <w:rFonts w:ascii="Calibri" w:eastAsia="Times New Roman" w:hAnsi="Calibri" w:cs="Times New Roman"/>
                <w:color w:val="000000"/>
              </w:rPr>
              <w:t>Weight in B</w:t>
            </w:r>
          </w:p>
        </w:tc>
        <w:tc>
          <w:tcPr>
            <w:tcW w:w="1053" w:type="dxa"/>
            <w:hideMark/>
          </w:tcPr>
          <w:p w:rsidR="00EC055F" w:rsidRPr="00EC055F" w:rsidRDefault="00EC055F" w:rsidP="00EC055F">
            <w:pPr>
              <w:jc w:val="center"/>
              <w:rPr>
                <w:rFonts w:ascii="Calibri" w:eastAsia="Times New Roman" w:hAnsi="Calibri" w:cs="Times New Roman"/>
                <w:color w:val="000000"/>
              </w:rPr>
            </w:pPr>
            <w:r w:rsidRPr="00EC055F">
              <w:rPr>
                <w:rFonts w:ascii="Calibri" w:eastAsia="Times New Roman" w:hAnsi="Calibri" w:cs="Times New Roman"/>
                <w:color w:val="000000"/>
              </w:rPr>
              <w:t>Risk</w:t>
            </w:r>
          </w:p>
        </w:tc>
        <w:tc>
          <w:tcPr>
            <w:tcW w:w="1232" w:type="dxa"/>
            <w:hideMark/>
          </w:tcPr>
          <w:p w:rsidR="00EC055F" w:rsidRPr="00EC055F" w:rsidRDefault="00EC055F" w:rsidP="00EC055F">
            <w:pPr>
              <w:jc w:val="center"/>
              <w:rPr>
                <w:rFonts w:ascii="Calibri" w:eastAsia="Times New Roman" w:hAnsi="Calibri" w:cs="Times New Roman"/>
                <w:color w:val="000000"/>
              </w:rPr>
            </w:pPr>
            <w:r w:rsidRPr="00EC055F">
              <w:rPr>
                <w:rFonts w:ascii="Calibri" w:eastAsia="Times New Roman" w:hAnsi="Calibri" w:cs="Times New Roman"/>
                <w:color w:val="000000"/>
              </w:rPr>
              <w:t>Return</w:t>
            </w:r>
          </w:p>
        </w:tc>
      </w:tr>
      <w:tr w:rsidR="00EC055F" w:rsidRPr="00EC055F" w:rsidTr="00EC055F">
        <w:trPr>
          <w:trHeight w:val="312"/>
          <w:jc w:val="center"/>
        </w:trPr>
        <w:tc>
          <w:tcPr>
            <w:tcW w:w="9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100%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w:t>
            </w:r>
          </w:p>
        </w:tc>
        <w:tc>
          <w:tcPr>
            <w:tcW w:w="1053"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0.127716</w:t>
            </w:r>
          </w:p>
        </w:tc>
        <w:tc>
          <w:tcPr>
            <w:tcW w:w="1232"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117.49%</w:t>
            </w:r>
          </w:p>
        </w:tc>
      </w:tr>
      <w:tr w:rsidR="00EC055F" w:rsidRPr="00EC055F" w:rsidTr="00EC055F">
        <w:trPr>
          <w:trHeight w:val="312"/>
          <w:jc w:val="center"/>
        </w:trPr>
        <w:tc>
          <w:tcPr>
            <w:tcW w:w="9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90%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10%</w:t>
            </w:r>
          </w:p>
        </w:tc>
        <w:tc>
          <w:tcPr>
            <w:tcW w:w="1053"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0.119406</w:t>
            </w:r>
          </w:p>
        </w:tc>
        <w:tc>
          <w:tcPr>
            <w:tcW w:w="1232"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109.56%</w:t>
            </w:r>
          </w:p>
        </w:tc>
      </w:tr>
      <w:tr w:rsidR="00EC055F" w:rsidRPr="00EC055F" w:rsidTr="00EC055F">
        <w:trPr>
          <w:trHeight w:val="312"/>
          <w:jc w:val="center"/>
        </w:trPr>
        <w:tc>
          <w:tcPr>
            <w:tcW w:w="9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80%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20%</w:t>
            </w:r>
          </w:p>
        </w:tc>
        <w:tc>
          <w:tcPr>
            <w:tcW w:w="1053"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0.112387</w:t>
            </w:r>
          </w:p>
        </w:tc>
        <w:tc>
          <w:tcPr>
            <w:tcW w:w="1232"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101.64%</w:t>
            </w:r>
          </w:p>
        </w:tc>
      </w:tr>
      <w:tr w:rsidR="00EC055F" w:rsidRPr="00EC055F" w:rsidTr="00EC055F">
        <w:trPr>
          <w:trHeight w:val="312"/>
          <w:jc w:val="center"/>
        </w:trPr>
        <w:tc>
          <w:tcPr>
            <w:tcW w:w="9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70%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30%</w:t>
            </w:r>
          </w:p>
        </w:tc>
        <w:tc>
          <w:tcPr>
            <w:tcW w:w="1053"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0.106914</w:t>
            </w:r>
          </w:p>
        </w:tc>
        <w:tc>
          <w:tcPr>
            <w:tcW w:w="1232"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93.71%</w:t>
            </w:r>
          </w:p>
        </w:tc>
      </w:tr>
      <w:tr w:rsidR="00EC055F" w:rsidRPr="00EC055F" w:rsidTr="00EC055F">
        <w:trPr>
          <w:trHeight w:val="312"/>
          <w:jc w:val="center"/>
        </w:trPr>
        <w:tc>
          <w:tcPr>
            <w:tcW w:w="9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60%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40%</w:t>
            </w:r>
          </w:p>
        </w:tc>
        <w:tc>
          <w:tcPr>
            <w:tcW w:w="1053"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0.103232</w:t>
            </w:r>
          </w:p>
        </w:tc>
        <w:tc>
          <w:tcPr>
            <w:tcW w:w="1232"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85.79%</w:t>
            </w:r>
          </w:p>
        </w:tc>
      </w:tr>
      <w:tr w:rsidR="00EC055F" w:rsidRPr="00EC055F" w:rsidTr="00EC055F">
        <w:trPr>
          <w:trHeight w:val="312"/>
          <w:jc w:val="center"/>
        </w:trPr>
        <w:tc>
          <w:tcPr>
            <w:tcW w:w="9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50%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50%</w:t>
            </w:r>
          </w:p>
        </w:tc>
        <w:tc>
          <w:tcPr>
            <w:tcW w:w="1053"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0.101536</w:t>
            </w:r>
          </w:p>
        </w:tc>
        <w:tc>
          <w:tcPr>
            <w:tcW w:w="1232"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77.87%</w:t>
            </w:r>
          </w:p>
        </w:tc>
      </w:tr>
      <w:tr w:rsidR="00EC055F" w:rsidRPr="00EC055F" w:rsidTr="00EC055F">
        <w:trPr>
          <w:trHeight w:val="312"/>
          <w:jc w:val="center"/>
        </w:trPr>
        <w:tc>
          <w:tcPr>
            <w:tcW w:w="9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40%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60%</w:t>
            </w:r>
          </w:p>
        </w:tc>
        <w:tc>
          <w:tcPr>
            <w:tcW w:w="1053"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0.101926</w:t>
            </w:r>
          </w:p>
        </w:tc>
        <w:tc>
          <w:tcPr>
            <w:tcW w:w="1232"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69.94%</w:t>
            </w:r>
          </w:p>
        </w:tc>
      </w:tr>
      <w:tr w:rsidR="00EC055F" w:rsidRPr="00EC055F" w:rsidTr="00EC055F">
        <w:trPr>
          <w:trHeight w:val="312"/>
          <w:jc w:val="center"/>
        </w:trPr>
        <w:tc>
          <w:tcPr>
            <w:tcW w:w="9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30%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70%</w:t>
            </w:r>
          </w:p>
        </w:tc>
        <w:tc>
          <w:tcPr>
            <w:tcW w:w="1053"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0.104378</w:t>
            </w:r>
          </w:p>
        </w:tc>
        <w:tc>
          <w:tcPr>
            <w:tcW w:w="1232"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62.02%</w:t>
            </w:r>
          </w:p>
        </w:tc>
      </w:tr>
      <w:tr w:rsidR="00EC055F" w:rsidRPr="00EC055F" w:rsidTr="00EC055F">
        <w:trPr>
          <w:trHeight w:val="312"/>
          <w:jc w:val="center"/>
        </w:trPr>
        <w:tc>
          <w:tcPr>
            <w:tcW w:w="9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20%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80%</w:t>
            </w:r>
          </w:p>
        </w:tc>
        <w:tc>
          <w:tcPr>
            <w:tcW w:w="1053"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0.108753</w:t>
            </w:r>
          </w:p>
        </w:tc>
        <w:tc>
          <w:tcPr>
            <w:tcW w:w="1232"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54.09%</w:t>
            </w:r>
          </w:p>
        </w:tc>
      </w:tr>
      <w:tr w:rsidR="00EC055F" w:rsidRPr="00EC055F" w:rsidTr="00EC055F">
        <w:trPr>
          <w:trHeight w:val="312"/>
          <w:jc w:val="center"/>
        </w:trPr>
        <w:tc>
          <w:tcPr>
            <w:tcW w:w="9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10%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90%</w:t>
            </w:r>
          </w:p>
        </w:tc>
        <w:tc>
          <w:tcPr>
            <w:tcW w:w="1053"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0.114832</w:t>
            </w:r>
          </w:p>
        </w:tc>
        <w:tc>
          <w:tcPr>
            <w:tcW w:w="1232"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46.17%</w:t>
            </w:r>
          </w:p>
        </w:tc>
      </w:tr>
      <w:tr w:rsidR="00EC055F" w:rsidRPr="00EC055F" w:rsidTr="00EC055F">
        <w:trPr>
          <w:trHeight w:val="312"/>
          <w:jc w:val="center"/>
        </w:trPr>
        <w:tc>
          <w:tcPr>
            <w:tcW w:w="9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100%</w:t>
            </w:r>
          </w:p>
        </w:tc>
        <w:tc>
          <w:tcPr>
            <w:tcW w:w="1053"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0.12236</w:t>
            </w:r>
          </w:p>
        </w:tc>
        <w:tc>
          <w:tcPr>
            <w:tcW w:w="1232"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38.24%</w:t>
            </w:r>
          </w:p>
        </w:tc>
      </w:tr>
    </w:tbl>
    <w:p w:rsidR="00EC055F" w:rsidRDefault="00EC055F" w:rsidP="00EC055F"/>
    <w:p w:rsidR="00EC055F" w:rsidRDefault="00EC055F" w:rsidP="00EC055F">
      <w:r>
        <w:t>A and B in the table above refer to portfolios A and B. The table relates to the portfolios of equally weighted shares.</w:t>
      </w:r>
    </w:p>
    <w:p w:rsidR="00EC055F" w:rsidRDefault="00EC055F" w:rsidP="00EC055F"/>
    <w:p w:rsidR="00EC055F" w:rsidRDefault="00EC055F" w:rsidP="00EC055F">
      <w:r>
        <w:t>Appendix 2:</w:t>
      </w:r>
    </w:p>
    <w:tbl>
      <w:tblPr>
        <w:tblStyle w:val="TableGridLight"/>
        <w:tblW w:w="5080" w:type="dxa"/>
        <w:jc w:val="center"/>
        <w:tblLook w:val="04A0" w:firstRow="1" w:lastRow="0" w:firstColumn="1" w:lastColumn="0" w:noHBand="0" w:noVBand="1"/>
      </w:tblPr>
      <w:tblGrid>
        <w:gridCol w:w="980"/>
        <w:gridCol w:w="960"/>
        <w:gridCol w:w="1053"/>
        <w:gridCol w:w="2180"/>
      </w:tblGrid>
      <w:tr w:rsidR="00EC055F" w:rsidRPr="00EC055F" w:rsidTr="00EC055F">
        <w:trPr>
          <w:trHeight w:val="600"/>
          <w:jc w:val="center"/>
        </w:trPr>
        <w:tc>
          <w:tcPr>
            <w:tcW w:w="980" w:type="dxa"/>
            <w:hideMark/>
          </w:tcPr>
          <w:p w:rsidR="00EC055F" w:rsidRPr="00EC055F" w:rsidRDefault="00EC055F" w:rsidP="00EC055F">
            <w:pPr>
              <w:jc w:val="center"/>
              <w:rPr>
                <w:rFonts w:ascii="Calibri" w:eastAsia="Times New Roman" w:hAnsi="Calibri" w:cs="Times New Roman"/>
                <w:color w:val="000000"/>
              </w:rPr>
            </w:pPr>
            <w:r w:rsidRPr="00EC055F">
              <w:rPr>
                <w:rFonts w:ascii="Calibri" w:eastAsia="Times New Roman" w:hAnsi="Calibri" w:cs="Times New Roman"/>
                <w:color w:val="000000"/>
              </w:rPr>
              <w:t>Weight in A</w:t>
            </w:r>
          </w:p>
        </w:tc>
        <w:tc>
          <w:tcPr>
            <w:tcW w:w="960" w:type="dxa"/>
            <w:hideMark/>
          </w:tcPr>
          <w:p w:rsidR="00EC055F" w:rsidRPr="00EC055F" w:rsidRDefault="00EC055F" w:rsidP="00EC055F">
            <w:pPr>
              <w:jc w:val="center"/>
              <w:rPr>
                <w:rFonts w:ascii="Calibri" w:eastAsia="Times New Roman" w:hAnsi="Calibri" w:cs="Times New Roman"/>
                <w:color w:val="000000"/>
              </w:rPr>
            </w:pPr>
            <w:r w:rsidRPr="00EC055F">
              <w:rPr>
                <w:rFonts w:ascii="Calibri" w:eastAsia="Times New Roman" w:hAnsi="Calibri" w:cs="Times New Roman"/>
                <w:color w:val="000000"/>
              </w:rPr>
              <w:t>Weight in B</w:t>
            </w:r>
          </w:p>
        </w:tc>
        <w:tc>
          <w:tcPr>
            <w:tcW w:w="960" w:type="dxa"/>
            <w:hideMark/>
          </w:tcPr>
          <w:p w:rsidR="00EC055F" w:rsidRPr="00EC055F" w:rsidRDefault="00EC055F" w:rsidP="00EC055F">
            <w:pPr>
              <w:jc w:val="center"/>
              <w:rPr>
                <w:rFonts w:ascii="Calibri" w:eastAsia="Times New Roman" w:hAnsi="Calibri" w:cs="Times New Roman"/>
                <w:color w:val="000000"/>
              </w:rPr>
            </w:pPr>
            <w:r w:rsidRPr="00EC055F">
              <w:rPr>
                <w:rFonts w:ascii="Calibri" w:eastAsia="Times New Roman" w:hAnsi="Calibri" w:cs="Times New Roman"/>
                <w:color w:val="000000"/>
              </w:rPr>
              <w:t>Risk</w:t>
            </w:r>
          </w:p>
        </w:tc>
        <w:tc>
          <w:tcPr>
            <w:tcW w:w="2180" w:type="dxa"/>
            <w:hideMark/>
          </w:tcPr>
          <w:p w:rsidR="00EC055F" w:rsidRPr="00EC055F" w:rsidRDefault="00EC055F" w:rsidP="00EC055F">
            <w:pPr>
              <w:jc w:val="center"/>
              <w:rPr>
                <w:rFonts w:ascii="Calibri" w:eastAsia="Times New Roman" w:hAnsi="Calibri" w:cs="Times New Roman"/>
                <w:color w:val="000000"/>
              </w:rPr>
            </w:pPr>
            <w:r w:rsidRPr="00EC055F">
              <w:rPr>
                <w:rFonts w:ascii="Calibri" w:eastAsia="Times New Roman" w:hAnsi="Calibri" w:cs="Times New Roman"/>
                <w:color w:val="000000"/>
              </w:rPr>
              <w:t>Return</w:t>
            </w:r>
          </w:p>
        </w:tc>
      </w:tr>
      <w:tr w:rsidR="00EC055F" w:rsidRPr="00EC055F" w:rsidTr="00EC055F">
        <w:trPr>
          <w:trHeight w:val="312"/>
          <w:jc w:val="center"/>
        </w:trPr>
        <w:tc>
          <w:tcPr>
            <w:tcW w:w="9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100%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0.163413</w:t>
            </w:r>
          </w:p>
        </w:tc>
        <w:tc>
          <w:tcPr>
            <w:tcW w:w="21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66.32%</w:t>
            </w:r>
          </w:p>
        </w:tc>
      </w:tr>
      <w:tr w:rsidR="00EC055F" w:rsidRPr="00EC055F" w:rsidTr="00EC055F">
        <w:trPr>
          <w:trHeight w:val="312"/>
          <w:jc w:val="center"/>
        </w:trPr>
        <w:tc>
          <w:tcPr>
            <w:tcW w:w="9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90%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10%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0.156477</w:t>
            </w:r>
          </w:p>
        </w:tc>
        <w:tc>
          <w:tcPr>
            <w:tcW w:w="21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63.80%</w:t>
            </w:r>
          </w:p>
        </w:tc>
      </w:tr>
      <w:tr w:rsidR="00EC055F" w:rsidRPr="00EC055F" w:rsidTr="00EC055F">
        <w:trPr>
          <w:trHeight w:val="312"/>
          <w:jc w:val="center"/>
        </w:trPr>
        <w:tc>
          <w:tcPr>
            <w:tcW w:w="9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80%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20%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0.150473</w:t>
            </w:r>
          </w:p>
        </w:tc>
        <w:tc>
          <w:tcPr>
            <w:tcW w:w="21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61.29%</w:t>
            </w:r>
          </w:p>
        </w:tc>
      </w:tr>
      <w:tr w:rsidR="00EC055F" w:rsidRPr="00EC055F" w:rsidTr="00EC055F">
        <w:trPr>
          <w:trHeight w:val="312"/>
          <w:jc w:val="center"/>
        </w:trPr>
        <w:tc>
          <w:tcPr>
            <w:tcW w:w="9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70%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30%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0.145516</w:t>
            </w:r>
          </w:p>
        </w:tc>
        <w:tc>
          <w:tcPr>
            <w:tcW w:w="21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58.78%</w:t>
            </w:r>
          </w:p>
        </w:tc>
      </w:tr>
      <w:tr w:rsidR="00EC055F" w:rsidRPr="00EC055F" w:rsidTr="00EC055F">
        <w:trPr>
          <w:trHeight w:val="312"/>
          <w:jc w:val="center"/>
        </w:trPr>
        <w:tc>
          <w:tcPr>
            <w:tcW w:w="9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60%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40%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0.141717</w:t>
            </w:r>
          </w:p>
        </w:tc>
        <w:tc>
          <w:tcPr>
            <w:tcW w:w="21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56.27%</w:t>
            </w:r>
          </w:p>
        </w:tc>
      </w:tr>
      <w:tr w:rsidR="00EC055F" w:rsidRPr="00EC055F" w:rsidTr="00EC055F">
        <w:trPr>
          <w:trHeight w:val="312"/>
          <w:jc w:val="center"/>
        </w:trPr>
        <w:tc>
          <w:tcPr>
            <w:tcW w:w="9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50%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50%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0.13917</w:t>
            </w:r>
          </w:p>
        </w:tc>
        <w:tc>
          <w:tcPr>
            <w:tcW w:w="21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53.76%</w:t>
            </w:r>
          </w:p>
        </w:tc>
      </w:tr>
      <w:tr w:rsidR="00EC055F" w:rsidRPr="00EC055F" w:rsidTr="00EC055F">
        <w:trPr>
          <w:trHeight w:val="312"/>
          <w:jc w:val="center"/>
        </w:trPr>
        <w:tc>
          <w:tcPr>
            <w:tcW w:w="9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40%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60%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0.137945</w:t>
            </w:r>
          </w:p>
        </w:tc>
        <w:tc>
          <w:tcPr>
            <w:tcW w:w="21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51.25%</w:t>
            </w:r>
          </w:p>
        </w:tc>
      </w:tr>
      <w:tr w:rsidR="00EC055F" w:rsidRPr="00EC055F" w:rsidTr="00EC055F">
        <w:trPr>
          <w:trHeight w:val="312"/>
          <w:jc w:val="center"/>
        </w:trPr>
        <w:tc>
          <w:tcPr>
            <w:tcW w:w="9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30%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70%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0.138076</w:t>
            </w:r>
          </w:p>
        </w:tc>
        <w:tc>
          <w:tcPr>
            <w:tcW w:w="21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48.74%</w:t>
            </w:r>
          </w:p>
        </w:tc>
      </w:tr>
      <w:tr w:rsidR="00EC055F" w:rsidRPr="00EC055F" w:rsidTr="00EC055F">
        <w:trPr>
          <w:trHeight w:val="312"/>
          <w:jc w:val="center"/>
        </w:trPr>
        <w:tc>
          <w:tcPr>
            <w:tcW w:w="9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20%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80%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0.13956</w:t>
            </w:r>
          </w:p>
        </w:tc>
        <w:tc>
          <w:tcPr>
            <w:tcW w:w="21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46.22%</w:t>
            </w:r>
          </w:p>
        </w:tc>
      </w:tr>
      <w:tr w:rsidR="00EC055F" w:rsidRPr="00EC055F" w:rsidTr="00EC055F">
        <w:trPr>
          <w:trHeight w:val="312"/>
          <w:jc w:val="center"/>
        </w:trPr>
        <w:tc>
          <w:tcPr>
            <w:tcW w:w="9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10%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90%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0.142355</w:t>
            </w:r>
          </w:p>
        </w:tc>
        <w:tc>
          <w:tcPr>
            <w:tcW w:w="21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43.71%</w:t>
            </w:r>
          </w:p>
        </w:tc>
      </w:tr>
      <w:tr w:rsidR="00EC055F" w:rsidRPr="00EC055F" w:rsidTr="00EC055F">
        <w:trPr>
          <w:trHeight w:val="312"/>
          <w:jc w:val="center"/>
        </w:trPr>
        <w:tc>
          <w:tcPr>
            <w:tcW w:w="9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100%</w:t>
            </w:r>
          </w:p>
        </w:tc>
        <w:tc>
          <w:tcPr>
            <w:tcW w:w="96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0.146386</w:t>
            </w:r>
          </w:p>
        </w:tc>
        <w:tc>
          <w:tcPr>
            <w:tcW w:w="2180" w:type="dxa"/>
            <w:noWrap/>
            <w:hideMark/>
          </w:tcPr>
          <w:p w:rsidR="00EC055F" w:rsidRPr="00EC055F" w:rsidRDefault="00EC055F" w:rsidP="00EC055F">
            <w:pPr>
              <w:jc w:val="right"/>
              <w:rPr>
                <w:rFonts w:ascii="Calibri" w:eastAsia="Times New Roman" w:hAnsi="Calibri" w:cs="Times New Roman"/>
                <w:color w:val="000000"/>
              </w:rPr>
            </w:pPr>
            <w:r w:rsidRPr="00EC055F">
              <w:rPr>
                <w:rFonts w:ascii="Calibri" w:eastAsia="Times New Roman" w:hAnsi="Calibri" w:cs="Times New Roman"/>
                <w:color w:val="000000"/>
              </w:rPr>
              <w:t>41.20%</w:t>
            </w:r>
          </w:p>
        </w:tc>
      </w:tr>
    </w:tbl>
    <w:p w:rsidR="00EC055F" w:rsidRDefault="00EC055F" w:rsidP="00EC055F"/>
    <w:p w:rsidR="00EC055F" w:rsidRDefault="00EC055F" w:rsidP="00EC055F">
      <w:r>
        <w:t xml:space="preserve">Again, </w:t>
      </w:r>
      <w:r>
        <w:t xml:space="preserve">A and B in the table above refer to portfolios A and B. The table relates to the portfolios of </w:t>
      </w:r>
      <w:r>
        <w:t xml:space="preserve">shares weighted according to the company’s market </w:t>
      </w:r>
      <w:proofErr w:type="spellStart"/>
      <w:r>
        <w:t>capitalisation</w:t>
      </w:r>
      <w:proofErr w:type="spellEnd"/>
      <w:r>
        <w:t>.</w:t>
      </w:r>
    </w:p>
    <w:p w:rsidR="00EC055F" w:rsidRPr="00EC055F" w:rsidRDefault="00EC055F" w:rsidP="00EC055F"/>
    <w:sectPr w:rsidR="00EC055F" w:rsidRPr="00EC0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61766"/>
    <w:multiLevelType w:val="hybridMultilevel"/>
    <w:tmpl w:val="98E6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857E1"/>
    <w:multiLevelType w:val="hybridMultilevel"/>
    <w:tmpl w:val="52B2F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CD2CC9"/>
    <w:multiLevelType w:val="hybridMultilevel"/>
    <w:tmpl w:val="A95824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939"/>
    <w:rsid w:val="00034ED3"/>
    <w:rsid w:val="003240F2"/>
    <w:rsid w:val="003D1F00"/>
    <w:rsid w:val="0041074E"/>
    <w:rsid w:val="00545E91"/>
    <w:rsid w:val="005A5030"/>
    <w:rsid w:val="006718C7"/>
    <w:rsid w:val="006A041B"/>
    <w:rsid w:val="00775426"/>
    <w:rsid w:val="008834E5"/>
    <w:rsid w:val="009A47BF"/>
    <w:rsid w:val="00A96662"/>
    <w:rsid w:val="00B565DC"/>
    <w:rsid w:val="00BD3365"/>
    <w:rsid w:val="00C458B3"/>
    <w:rsid w:val="00D73D70"/>
    <w:rsid w:val="00DF1200"/>
    <w:rsid w:val="00E96939"/>
    <w:rsid w:val="00EC055F"/>
    <w:rsid w:val="00FB1656"/>
    <w:rsid w:val="00FD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46872-E946-4975-A08C-9BCD3F6AC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939"/>
    <w:pPr>
      <w:ind w:left="720"/>
      <w:contextualSpacing/>
    </w:pPr>
  </w:style>
  <w:style w:type="table" w:styleId="TableGrid">
    <w:name w:val="Table Grid"/>
    <w:basedOn w:val="TableNormal"/>
    <w:uiPriority w:val="39"/>
    <w:rsid w:val="00E96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34E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034E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5A5030"/>
    <w:rPr>
      <w:color w:val="808080"/>
    </w:rPr>
  </w:style>
  <w:style w:type="table" w:styleId="TableGridLight">
    <w:name w:val="Grid Table Light"/>
    <w:basedOn w:val="TableNormal"/>
    <w:uiPriority w:val="40"/>
    <w:rsid w:val="00C458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3240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0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349782">
      <w:bodyDiv w:val="1"/>
      <w:marLeft w:val="0"/>
      <w:marRight w:val="0"/>
      <w:marTop w:val="0"/>
      <w:marBottom w:val="0"/>
      <w:divBdr>
        <w:top w:val="none" w:sz="0" w:space="0" w:color="auto"/>
        <w:left w:val="none" w:sz="0" w:space="0" w:color="auto"/>
        <w:bottom w:val="none" w:sz="0" w:space="0" w:color="auto"/>
        <w:right w:val="none" w:sz="0" w:space="0" w:color="auto"/>
      </w:divBdr>
    </w:div>
    <w:div w:id="450369494">
      <w:bodyDiv w:val="1"/>
      <w:marLeft w:val="0"/>
      <w:marRight w:val="0"/>
      <w:marTop w:val="0"/>
      <w:marBottom w:val="0"/>
      <w:divBdr>
        <w:top w:val="none" w:sz="0" w:space="0" w:color="auto"/>
        <w:left w:val="none" w:sz="0" w:space="0" w:color="auto"/>
        <w:bottom w:val="none" w:sz="0" w:space="0" w:color="auto"/>
        <w:right w:val="none" w:sz="0" w:space="0" w:color="auto"/>
      </w:divBdr>
    </w:div>
    <w:div w:id="587661512">
      <w:bodyDiv w:val="1"/>
      <w:marLeft w:val="0"/>
      <w:marRight w:val="0"/>
      <w:marTop w:val="0"/>
      <w:marBottom w:val="0"/>
      <w:divBdr>
        <w:top w:val="none" w:sz="0" w:space="0" w:color="auto"/>
        <w:left w:val="none" w:sz="0" w:space="0" w:color="auto"/>
        <w:bottom w:val="none" w:sz="0" w:space="0" w:color="auto"/>
        <w:right w:val="none" w:sz="0" w:space="0" w:color="auto"/>
      </w:divBdr>
    </w:div>
    <w:div w:id="796800340">
      <w:bodyDiv w:val="1"/>
      <w:marLeft w:val="0"/>
      <w:marRight w:val="0"/>
      <w:marTop w:val="0"/>
      <w:marBottom w:val="0"/>
      <w:divBdr>
        <w:top w:val="none" w:sz="0" w:space="0" w:color="auto"/>
        <w:left w:val="none" w:sz="0" w:space="0" w:color="auto"/>
        <w:bottom w:val="none" w:sz="0" w:space="0" w:color="auto"/>
        <w:right w:val="none" w:sz="0" w:space="0" w:color="auto"/>
      </w:divBdr>
    </w:div>
    <w:div w:id="822552849">
      <w:bodyDiv w:val="1"/>
      <w:marLeft w:val="0"/>
      <w:marRight w:val="0"/>
      <w:marTop w:val="0"/>
      <w:marBottom w:val="0"/>
      <w:divBdr>
        <w:top w:val="none" w:sz="0" w:space="0" w:color="auto"/>
        <w:left w:val="none" w:sz="0" w:space="0" w:color="auto"/>
        <w:bottom w:val="none" w:sz="0" w:space="0" w:color="auto"/>
        <w:right w:val="none" w:sz="0" w:space="0" w:color="auto"/>
      </w:divBdr>
    </w:div>
    <w:div w:id="840005946">
      <w:bodyDiv w:val="1"/>
      <w:marLeft w:val="0"/>
      <w:marRight w:val="0"/>
      <w:marTop w:val="0"/>
      <w:marBottom w:val="0"/>
      <w:divBdr>
        <w:top w:val="none" w:sz="0" w:space="0" w:color="auto"/>
        <w:left w:val="none" w:sz="0" w:space="0" w:color="auto"/>
        <w:bottom w:val="none" w:sz="0" w:space="0" w:color="auto"/>
        <w:right w:val="none" w:sz="0" w:space="0" w:color="auto"/>
      </w:divBdr>
    </w:div>
    <w:div w:id="1220480903">
      <w:bodyDiv w:val="1"/>
      <w:marLeft w:val="0"/>
      <w:marRight w:val="0"/>
      <w:marTop w:val="0"/>
      <w:marBottom w:val="0"/>
      <w:divBdr>
        <w:top w:val="none" w:sz="0" w:space="0" w:color="auto"/>
        <w:left w:val="none" w:sz="0" w:space="0" w:color="auto"/>
        <w:bottom w:val="none" w:sz="0" w:space="0" w:color="auto"/>
        <w:right w:val="none" w:sz="0" w:space="0" w:color="auto"/>
      </w:divBdr>
    </w:div>
    <w:div w:id="1462386844">
      <w:bodyDiv w:val="1"/>
      <w:marLeft w:val="0"/>
      <w:marRight w:val="0"/>
      <w:marTop w:val="0"/>
      <w:marBottom w:val="0"/>
      <w:divBdr>
        <w:top w:val="none" w:sz="0" w:space="0" w:color="auto"/>
        <w:left w:val="none" w:sz="0" w:space="0" w:color="auto"/>
        <w:bottom w:val="none" w:sz="0" w:space="0" w:color="auto"/>
        <w:right w:val="none" w:sz="0" w:space="0" w:color="auto"/>
      </w:divBdr>
    </w:div>
    <w:div w:id="1482843306">
      <w:bodyDiv w:val="1"/>
      <w:marLeft w:val="0"/>
      <w:marRight w:val="0"/>
      <w:marTop w:val="0"/>
      <w:marBottom w:val="0"/>
      <w:divBdr>
        <w:top w:val="none" w:sz="0" w:space="0" w:color="auto"/>
        <w:left w:val="none" w:sz="0" w:space="0" w:color="auto"/>
        <w:bottom w:val="none" w:sz="0" w:space="0" w:color="auto"/>
        <w:right w:val="none" w:sz="0" w:space="0" w:color="auto"/>
      </w:divBdr>
    </w:div>
    <w:div w:id="150995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rant\Desktop\Stats%20Honours\Portfolio%20Theory\Assignment%202.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Combinations of (equally weighted) portfolio's A and 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rgbClr val="FF0000"/>
              </a:solidFill>
              <a:round/>
            </a:ln>
            <a:effectLst/>
          </c:spPr>
          <c:marker>
            <c:symbol val="circle"/>
            <c:size val="5"/>
            <c:spPr>
              <a:solidFill>
                <a:srgbClr val="FF0000"/>
              </a:solidFill>
              <a:ln w="9525">
                <a:solidFill>
                  <a:srgbClr val="FF0000"/>
                </a:solidFill>
              </a:ln>
              <a:effectLst/>
            </c:spPr>
          </c:marker>
          <c:xVal>
            <c:numRef>
              <c:f>Close!$D$272:$D$282</c:f>
              <c:numCache>
                <c:formatCode>General</c:formatCode>
                <c:ptCount val="11"/>
                <c:pt idx="0">
                  <c:v>0.12771593479280494</c:v>
                </c:pt>
                <c:pt idx="1">
                  <c:v>0.11940624312976242</c:v>
                </c:pt>
                <c:pt idx="2">
                  <c:v>0.11238733062930326</c:v>
                </c:pt>
                <c:pt idx="3">
                  <c:v>0.10691372018056977</c:v>
                </c:pt>
                <c:pt idx="4">
                  <c:v>0.10323151325525788</c:v>
                </c:pt>
                <c:pt idx="5">
                  <c:v>0.10153579361163359</c:v>
                </c:pt>
                <c:pt idx="6">
                  <c:v>0.10192575596467501</c:v>
                </c:pt>
                <c:pt idx="7">
                  <c:v>0.10437802624522641</c:v>
                </c:pt>
                <c:pt idx="8">
                  <c:v>0.10875318517625276</c:v>
                </c:pt>
                <c:pt idx="9">
                  <c:v>0.11483165285914826</c:v>
                </c:pt>
                <c:pt idx="10">
                  <c:v>0.12235984635492152</c:v>
                </c:pt>
              </c:numCache>
            </c:numRef>
          </c:xVal>
          <c:yVal>
            <c:numRef>
              <c:f>Close!$E$272:$E$282</c:f>
              <c:numCache>
                <c:formatCode>0.00%</c:formatCode>
                <c:ptCount val="11"/>
                <c:pt idx="0">
                  <c:v>1.174883371047057</c:v>
                </c:pt>
                <c:pt idx="1">
                  <c:v>1.0956370714294794</c:v>
                </c:pt>
                <c:pt idx="2">
                  <c:v>1.0163907718119021</c:v>
                </c:pt>
                <c:pt idx="3">
                  <c:v>0.93714447219432451</c:v>
                </c:pt>
                <c:pt idx="4">
                  <c:v>0.85789817257674705</c:v>
                </c:pt>
                <c:pt idx="5">
                  <c:v>0.7786518729591696</c:v>
                </c:pt>
                <c:pt idx="6">
                  <c:v>0.69940557334159215</c:v>
                </c:pt>
                <c:pt idx="7">
                  <c:v>0.62015927372401458</c:v>
                </c:pt>
                <c:pt idx="8">
                  <c:v>0.54091297410643724</c:v>
                </c:pt>
                <c:pt idx="9">
                  <c:v>0.46166667448885967</c:v>
                </c:pt>
                <c:pt idx="10">
                  <c:v>0.38242037487128222</c:v>
                </c:pt>
              </c:numCache>
            </c:numRef>
          </c:yVal>
          <c:smooth val="1"/>
        </c:ser>
        <c:dLbls>
          <c:showLegendKey val="0"/>
          <c:showVal val="0"/>
          <c:showCatName val="0"/>
          <c:showSerName val="0"/>
          <c:showPercent val="0"/>
          <c:showBubbleSize val="0"/>
        </c:dLbls>
        <c:axId val="1034404784"/>
        <c:axId val="1034403608"/>
      </c:scatterChart>
      <c:valAx>
        <c:axId val="1034404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Risk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403608"/>
        <c:crosses val="autoZero"/>
        <c:crossBetween val="midCat"/>
      </c:valAx>
      <c:valAx>
        <c:axId val="1034403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404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4030</TotalTime>
  <Pages>6</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Levang</dc:creator>
  <cp:keywords/>
  <dc:description/>
  <cp:lastModifiedBy>Grant Levang</cp:lastModifiedBy>
  <cp:revision>13</cp:revision>
  <cp:lastPrinted>2016-08-23T06:30:00Z</cp:lastPrinted>
  <dcterms:created xsi:type="dcterms:W3CDTF">2016-08-20T09:05:00Z</dcterms:created>
  <dcterms:modified xsi:type="dcterms:W3CDTF">2016-08-23T06:43:00Z</dcterms:modified>
</cp:coreProperties>
</file>