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量化因子库研究报告"/>
    <w:p>
      <w:pPr>
        <w:pStyle w:val="Heading1"/>
      </w:pPr>
      <w:r>
        <w:t xml:space="preserve">量化因子库研究报告</w:t>
      </w:r>
    </w:p>
    <w:bookmarkStart w:id="20" w:name="基于华泰证券研报2025年3月"/>
    <w:p>
      <w:pPr>
        <w:pStyle w:val="Heading2"/>
      </w:pPr>
      <w:r>
        <w:t xml:space="preserve">基于华泰证券研报（2025年3月）</w:t>
      </w:r>
    </w:p>
    <w:p>
      <w:r>
        <w:pict>
          <v:rect style="width:0;height:1.5pt" o:hralign="center" o:hrstd="t" o:hr="t"/>
        </w:pict>
      </w:r>
    </w:p>
    <w:bookmarkEnd w:id="20"/>
    <w:bookmarkStart w:id="21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本报告基于华泰证券两篇深度研究报告，系统性提取并整理量化因子：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《基本面量化的当下和未来——策略篇》</w:t>
      </w:r>
      <w:r>
        <w:t xml:space="preserve">（2025年3月31日）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《多角度改进高频量价选股模型》</w:t>
      </w:r>
      <w:r>
        <w:t xml:space="preserve">（2025年3月21日）</w:t>
      </w:r>
    </w:p>
    <w:p>
      <w:pPr>
        <w:pStyle w:val="BodyText"/>
      </w:pPr>
      <w:r>
        <w:t xml:space="preserve">因子库涵盖</w:t>
      </w:r>
      <w:r>
        <w:t xml:space="preserve"> </w:t>
      </w:r>
      <w:r>
        <w:rPr>
          <w:b/>
          <w:bCs/>
        </w:rPr>
        <w:t xml:space="preserve">150+ 基本面因子</w:t>
      </w:r>
      <w:r>
        <w:t xml:space="preserve"> </w:t>
      </w:r>
      <w:r>
        <w:t xml:space="preserve">和</w:t>
      </w:r>
      <w:r>
        <w:t xml:space="preserve"> </w:t>
      </w:r>
      <w:r>
        <w:rPr>
          <w:b/>
          <w:bCs/>
        </w:rPr>
        <w:t xml:space="preserve">300+ 高频量价因子</w:t>
      </w:r>
      <w:r>
        <w:t xml:space="preserve">，经2017-2025年A股回测验证，具备显著选股能力。</w:t>
      </w:r>
    </w:p>
    <w:p>
      <w:r>
        <w:pict>
          <v:rect style="width:0;height:1.5pt" o:hralign="center" o:hrstd="t" o:hr="t"/>
        </w:pict>
      </w:r>
    </w:p>
    <w:bookmarkEnd w:id="21"/>
    <w:bookmarkStart w:id="33" w:name="一基本面因子"/>
    <w:p>
      <w:pPr>
        <w:pStyle w:val="Heading2"/>
      </w:pPr>
      <w:r>
        <w:t xml:space="preserve">一、基本面因子</w:t>
      </w:r>
    </w:p>
    <w:bookmarkStart w:id="27" w:name="一intellidex-因子库150-因子"/>
    <w:p>
      <w:pPr>
        <w:pStyle w:val="Heading3"/>
      </w:pPr>
      <w:r>
        <w:t xml:space="preserve">（一）Intellidex 因子库（150+ 因子）</w:t>
      </w:r>
    </w:p>
    <w:p>
      <w:pPr>
        <w:pStyle w:val="FirstParagraph"/>
      </w:pPr>
      <w:r>
        <w:t xml:space="preserve">Intellidex 方法论将因子划分为五大类别：</w:t>
      </w:r>
    </w:p>
    <w:bookmarkStart w:id="22" w:name="价格动量因子"/>
    <w:p>
      <w:pPr>
        <w:pStyle w:val="Heading4"/>
      </w:pPr>
      <w:r>
        <w:t xml:space="preserve">1. 价格动量因子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因子名称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短期动量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1个月、3个月收益率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中期动量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6个月、12个月收益率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残差动量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剔除市场/行业影响后的动量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量价调整动量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结合成交量调整的动量信号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风险调整动量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经波动率标准化的动量</w:t>
            </w:r>
          </w:p>
        </w:tc>
      </w:tr>
    </w:tbl>
    <w:p>
      <w:pPr>
        <w:pStyle w:val="BodyText"/>
      </w:pPr>
      <w:r>
        <w:rPr>
          <w:b/>
          <w:bCs/>
        </w:rPr>
        <w:t xml:space="preserve">有效性</w:t>
      </w:r>
      <w:r>
        <w:t xml:space="preserve">：跨市场周期具有较强预测能力</w:t>
      </w:r>
    </w:p>
    <w:bookmarkEnd w:id="22"/>
    <w:bookmarkStart w:id="23" w:name="盈利动量因子"/>
    <w:p>
      <w:pPr>
        <w:pStyle w:val="Heading4"/>
      </w:pPr>
      <w:r>
        <w:t xml:space="preserve">2. 盈利动量因子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因子名称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盈利超预期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实际盈利 vs. 一致预期偏差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盈利预期修正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分析师预测调整幅度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盈利增速加速度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盈利增长率的变化率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 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ROE 的趋势变化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利润率趋势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净利率/毛利率变动方向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经营杠杆变化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经营杠杆的边际变化</w:t>
            </w:r>
          </w:p>
        </w:tc>
      </w:tr>
    </w:tbl>
    <w:p>
      <w:pPr>
        <w:pStyle w:val="BodyText"/>
      </w:pPr>
      <w:r>
        <w:rPr>
          <w:b/>
          <w:bCs/>
        </w:rPr>
        <w:t xml:space="preserve">有效性</w:t>
      </w:r>
      <w:r>
        <w:t xml:space="preserve">：在基本面驱动行情中表现突出</w:t>
      </w:r>
    </w:p>
    <w:bookmarkEnd w:id="23"/>
    <w:bookmarkStart w:id="24" w:name="质量因子"/>
    <w:p>
      <w:pPr>
        <w:pStyle w:val="Heading4"/>
      </w:pPr>
      <w:r>
        <w:t xml:space="preserve">3. 质量因子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子类别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因子名称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盈利能力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净资产收益率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盈利能力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总资产收益率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盈利能力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投入资本回报率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盈利能力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毛利率稳定性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毛利率波动程度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盈利能力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营业利润率趋势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营业利润率变动方向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财务健康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资产负债率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杠杆水平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财务健康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利息覆盖倍数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偿债能力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财务健康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现金流质量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经营现金流/净利润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财务健康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应计质量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应计利润与现金流偏离度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经营稳定性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盈利波动率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盈利的离散程度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经营稳定性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营收增长的平稳度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经营稳定性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经营现金流一致性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现金流的可持续性</w:t>
            </w:r>
          </w:p>
        </w:tc>
      </w:tr>
    </w:tbl>
    <w:p>
      <w:pPr>
        <w:pStyle w:val="BodyText"/>
      </w:pPr>
      <w:r>
        <w:rPr>
          <w:b/>
          <w:bCs/>
        </w:rPr>
        <w:t xml:space="preserve">有效性</w:t>
      </w:r>
      <w:r>
        <w:t xml:space="preserve">：防御属性突出，在市场下行期超额收益显著</w:t>
      </w:r>
    </w:p>
    <w:bookmarkEnd w:id="24"/>
    <w:bookmarkStart w:id="25" w:name="管理层行为因子"/>
    <w:p>
      <w:pPr>
        <w:pStyle w:val="Heading4"/>
      </w:pPr>
      <w:r>
        <w:t xml:space="preserve">4. 管理层行为因子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因子名称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股票回购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公司回购行为的频率与规模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内部人交易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高管增减持信号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薪酬激励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管理层薪酬与业绩的绑定程度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分红政策一致性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分红政策的稳定性与持续性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资本配置效率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资本支出的回报率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并购行为质量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并购活动的价值创造能力</w:t>
            </w:r>
          </w:p>
        </w:tc>
      </w:tr>
    </w:tbl>
    <w:p>
      <w:pPr>
        <w:pStyle w:val="BodyText"/>
      </w:pPr>
      <w:r>
        <w:rPr>
          <w:b/>
          <w:bCs/>
        </w:rPr>
        <w:t xml:space="preserve">有效性</w:t>
      </w:r>
      <w:r>
        <w:t xml:space="preserve">：中期预测能力较强</w:t>
      </w:r>
    </w:p>
    <w:bookmarkEnd w:id="25"/>
    <w:bookmarkStart w:id="26" w:name="价值因子"/>
    <w:p>
      <w:pPr>
        <w:pStyle w:val="Heading4"/>
      </w:pPr>
      <w:r>
        <w:t xml:space="preserve">5. 价值因子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子类别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因子名称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传统估值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P/E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市盈率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传统估值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P/B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市净率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传统估值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市销率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传统估值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P/CF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市现率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企业价值倍数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市盈率增长比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动态估值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股息率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年化股息/股价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相对估值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行业相对PE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相对行业均值的估值水平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相对估值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历史分位数排名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估值的历史百分位</w:t>
            </w:r>
          </w:p>
        </w:tc>
      </w:tr>
    </w:tbl>
    <w:p>
      <w:pPr>
        <w:pStyle w:val="BodyText"/>
      </w:pPr>
      <w:r>
        <w:rPr>
          <w:b/>
          <w:bCs/>
        </w:rPr>
        <w:t xml:space="preserve">有效性</w:t>
      </w:r>
      <w:r>
        <w:t xml:space="preserve">：周期性特征明显，在价值风格切换期表现最佳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二行业域因子"/>
    <w:p>
      <w:pPr>
        <w:pStyle w:val="Heading3"/>
      </w:pPr>
      <w:r>
        <w:t xml:space="preserve">（二）行业域因子</w:t>
      </w:r>
    </w:p>
    <w:bookmarkStart w:id="28" w:name="行业动量"/>
    <w:p>
      <w:pPr>
        <w:pStyle w:val="Heading4"/>
      </w:pPr>
      <w:r>
        <w:t xml:space="preserve">1. 行业动量</w:t>
      </w:r>
    </w:p>
    <w:p>
      <w:pPr>
        <w:pStyle w:val="Compact"/>
        <w:numPr>
          <w:ilvl w:val="0"/>
          <w:numId w:val="1001"/>
        </w:numPr>
      </w:pPr>
      <w:r>
        <w:t xml:space="preserve">行业相对收益（vs. 全市场）</w:t>
      </w:r>
    </w:p>
    <w:p>
      <w:pPr>
        <w:pStyle w:val="Compact"/>
        <w:numPr>
          <w:ilvl w:val="0"/>
          <w:numId w:val="1001"/>
        </w:numPr>
      </w:pPr>
      <w:r>
        <w:t xml:space="preserve">行业轮动信号</w:t>
      </w:r>
    </w:p>
    <w:p>
      <w:pPr>
        <w:pStyle w:val="Compact"/>
        <w:numPr>
          <w:ilvl w:val="0"/>
          <w:numId w:val="1001"/>
        </w:numPr>
      </w:pPr>
      <w:r>
        <w:t xml:space="preserve">板块集中度趋势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应用场景</w:t>
      </w:r>
      <w:r>
        <w:t xml:space="preserve">：自上而下的行业配置</w:t>
      </w:r>
    </w:p>
    <w:bookmarkEnd w:id="28"/>
    <w:bookmarkStart w:id="29" w:name="行业方差风险溢价vrp"/>
    <w:p>
      <w:pPr>
        <w:pStyle w:val="Heading4"/>
      </w:pPr>
      <w:r>
        <w:t xml:space="preserve">2. 行业方差风险溢价（VRP）</w:t>
      </w:r>
    </w:p>
    <w:p>
      <w:pPr>
        <w:pStyle w:val="Compact"/>
        <w:numPr>
          <w:ilvl w:val="0"/>
          <w:numId w:val="1002"/>
        </w:numPr>
      </w:pPr>
      <w:r>
        <w:t xml:space="preserve">隐含波动率 vs. 已实现波动率价差</w:t>
      </w:r>
    </w:p>
    <w:p>
      <w:pPr>
        <w:pStyle w:val="Compact"/>
        <w:numPr>
          <w:ilvl w:val="0"/>
          <w:numId w:val="1002"/>
        </w:numPr>
      </w:pPr>
      <w:r>
        <w:t xml:space="preserve">行业特定风险溢价</w:t>
      </w:r>
    </w:p>
    <w:p>
      <w:pPr>
        <w:pStyle w:val="Compact"/>
        <w:numPr>
          <w:ilvl w:val="0"/>
          <w:numId w:val="1002"/>
        </w:numPr>
      </w:pPr>
      <w:r>
        <w:t xml:space="preserve">期权市场情绪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应用场景</w:t>
      </w:r>
      <w:r>
        <w:t xml:space="preserve">：风险调整后的行业选择，预判行业波动率变化</w:t>
      </w:r>
    </w:p>
    <w:bookmarkEnd w:id="29"/>
    <w:bookmarkStart w:id="30" w:name="行业隐含相关性ic"/>
    <w:p>
      <w:pPr>
        <w:pStyle w:val="Heading4"/>
      </w:pPr>
      <w:r>
        <w:t xml:space="preserve">3. 行业隐含相关性（IC）</w:t>
      </w:r>
    </w:p>
    <w:p>
      <w:pPr>
        <w:pStyle w:val="Compact"/>
        <w:numPr>
          <w:ilvl w:val="0"/>
          <w:numId w:val="1003"/>
        </w:numPr>
      </w:pPr>
      <w:r>
        <w:t xml:space="preserve">行业内个股相关性水平</w:t>
      </w:r>
    </w:p>
    <w:p>
      <w:pPr>
        <w:pStyle w:val="Compact"/>
        <w:numPr>
          <w:ilvl w:val="0"/>
          <w:numId w:val="1003"/>
        </w:numPr>
      </w:pPr>
      <w:r>
        <w:t xml:space="preserve">相关性结构变化</w:t>
      </w:r>
    </w:p>
    <w:p>
      <w:pPr>
        <w:pStyle w:val="Compact"/>
        <w:numPr>
          <w:ilvl w:val="0"/>
          <w:numId w:val="1003"/>
        </w:numPr>
      </w:pPr>
      <w:r>
        <w:t xml:space="preserve">分散度指标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应用场景</w:t>
      </w:r>
      <w:r>
        <w:t xml:space="preserve">：判断行业中性 vs. 行业集中策略的切换时点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三风格域因子"/>
    <w:p>
      <w:pPr>
        <w:pStyle w:val="Heading3"/>
      </w:pPr>
      <w:r>
        <w:t xml:space="preserve">（三）风格域因子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41"/>
        <w:gridCol w:w="2741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风格类型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有效性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价值风格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多维度价值复合因子、动态估值择时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价值风格切换期表现强势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成长风格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收入增长可持续性、盈利增长质量、市场份额扩张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成长驱动行情中有效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动量风格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截面动量、时序动量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跨市场环境一致性较强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质量风格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复合质量评分、质量-动量交互因子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防御属性突出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0" w:name="二高频量价因子"/>
    <w:p>
      <w:pPr>
        <w:pStyle w:val="Heading2"/>
      </w:pPr>
      <w:r>
        <w:t xml:space="preserve">二、高频量价因子</w:t>
      </w:r>
    </w:p>
    <w:bookmarkStart w:id="35" w:name="一gpt-生成的分钟线因子100个因子"/>
    <w:p>
      <w:pPr>
        <w:pStyle w:val="Heading3"/>
      </w:pPr>
      <w:r>
        <w:t xml:space="preserve">（一）GPT 生成的分钟线因子（100个因子）</w:t>
      </w:r>
    </w:p>
    <w:p>
      <w:pPr>
        <w:pStyle w:val="FirstParagraph"/>
      </w:pPr>
      <w:r>
        <w:t xml:space="preserve">利用 GPT 从分钟级交易数据中生成特征：</w:t>
      </w:r>
    </w:p>
    <w:bookmarkStart w:id="34" w:name="因子分类"/>
    <w:p>
      <w:pPr>
        <w:pStyle w:val="Heading4"/>
      </w:pPr>
      <w:r>
        <w:t xml:space="preserve">因子分类：</w:t>
      </w:r>
    </w:p>
    <w:p>
      <w:pPr>
        <w:pStyle w:val="FirstParagraph"/>
      </w:pPr>
      <w:r>
        <w:rPr>
          <w:b/>
          <w:bCs/>
        </w:rPr>
        <w:t xml:space="preserve">1. 价格形态特征</w:t>
      </w:r>
      <w:r>
        <w:t xml:space="preserve"> </w:t>
      </w:r>
      <w:r>
        <w:t xml:space="preserve">- 日内趋势强度</w:t>
      </w:r>
      <w:r>
        <w:t xml:space="preserve"> </w:t>
      </w:r>
      <w:r>
        <w:t xml:space="preserve">- 支撑/阻力突破</w:t>
      </w:r>
      <w:r>
        <w:t xml:space="preserve"> </w:t>
      </w:r>
      <w:r>
        <w:t xml:space="preserve">- 价格聚类模式</w:t>
      </w:r>
      <w:r>
        <w:t xml:space="preserve"> </w:t>
      </w:r>
      <w:r>
        <w:t xml:space="preserve">- 缺口分析</w:t>
      </w:r>
      <w:r>
        <w:t xml:space="preserve"> </w:t>
      </w:r>
      <w:r>
        <w:t xml:space="preserve">- 波浪形态</w:t>
      </w:r>
    </w:p>
    <w:p>
      <w:pPr>
        <w:pStyle w:val="BodyText"/>
      </w:pPr>
      <w:r>
        <w:rPr>
          <w:b/>
          <w:bCs/>
        </w:rPr>
        <w:t xml:space="preserve">2. 成交量形态特征</w:t>
      </w:r>
      <w:r>
        <w:t xml:space="preserve"> </w:t>
      </w:r>
      <w:r>
        <w:t xml:space="preserve">- 量价背离</w:t>
      </w:r>
      <w:r>
        <w:t xml:space="preserve"> </w:t>
      </w:r>
      <w:r>
        <w:t xml:space="preserve">- 成交量聚类</w:t>
      </w:r>
      <w:r>
        <w:t xml:space="preserve"> </w:t>
      </w:r>
      <w:r>
        <w:t xml:space="preserve">- 大单识别</w:t>
      </w:r>
      <w:r>
        <w:t xml:space="preserve"> </w:t>
      </w:r>
      <w:r>
        <w:t xml:space="preserve">- 成交量分布分析</w:t>
      </w:r>
    </w:p>
    <w:p>
      <w:pPr>
        <w:pStyle w:val="BodyText"/>
      </w:pPr>
      <w:r>
        <w:rPr>
          <w:b/>
          <w:bCs/>
        </w:rPr>
        <w:t xml:space="preserve">3. 波动率特征</w:t>
      </w:r>
      <w:r>
        <w:t xml:space="preserve"> </w:t>
      </w:r>
      <w:r>
        <w:t xml:space="preserve">- 日内波动率模式</w:t>
      </w:r>
      <w:r>
        <w:t xml:space="preserve"> </w:t>
      </w:r>
      <w:r>
        <w:t xml:space="preserve">- 波动率状态切换</w:t>
      </w:r>
      <w:r>
        <w:t xml:space="preserve"> </w:t>
      </w:r>
      <w:r>
        <w:t xml:space="preserve">- 振幅分析</w:t>
      </w:r>
    </w:p>
    <w:p>
      <w:pPr>
        <w:pStyle w:val="BodyText"/>
      </w:pPr>
      <w:r>
        <w:rPr>
          <w:b/>
          <w:bCs/>
        </w:rPr>
        <w:t xml:space="preserve">4. 微观结构特征</w:t>
      </w:r>
      <w:r>
        <w:t xml:space="preserve"> </w:t>
      </w:r>
      <w:r>
        <w:t xml:space="preserve">- 买卖价差动态</w:t>
      </w:r>
      <w:r>
        <w:t xml:space="preserve"> </w:t>
      </w:r>
      <w:r>
        <w:t xml:space="preserve">- 委托失衡</w:t>
      </w:r>
      <w:r>
        <w:t xml:space="preserve"> </w:t>
      </w:r>
      <w:r>
        <w:t xml:space="preserve">- 交易强度模式</w:t>
      </w:r>
    </w:p>
    <w:p>
      <w:pPr>
        <w:pStyle w:val="BodyText"/>
      </w:pPr>
      <w:r>
        <w:rPr>
          <w:b/>
          <w:bCs/>
        </w:rPr>
        <w:t xml:space="preserve">回测表现</w:t>
      </w:r>
      <w:r>
        <w:t xml:space="preserve">：</w:t>
      </w:r>
      <w:r>
        <w:t xml:space="preserve"> </w:t>
      </w:r>
      <w:r>
        <w:t xml:space="preserve">| 指标 | 数值 |</w:t>
      </w:r>
      <w:r>
        <w:t xml:space="preserve"> </w:t>
      </w:r>
      <w:r>
        <w:t xml:space="preserve">|——|——|</w:t>
      </w:r>
      <w:r>
        <w:t xml:space="preserve"> </w:t>
      </w:r>
      <w:r>
        <w:t xml:space="preserve">| RankIC | 11.18% |</w:t>
      </w:r>
      <w:r>
        <w:t xml:space="preserve"> </w:t>
      </w:r>
      <w:r>
        <w:t xml:space="preserve">| 信息比率 | 高一致性 |</w:t>
      </w:r>
      <w:r>
        <w:t xml:space="preserve"> </w:t>
      </w:r>
      <w:r>
        <w:t xml:space="preserve">| 中证1000增强年化超额 | ~19% |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二等量k线因子100个因子"/>
    <w:p>
      <w:pPr>
        <w:pStyle w:val="Heading3"/>
      </w:pPr>
      <w:r>
        <w:t xml:space="preserve">（二）等量K线因子（100个因子）</w:t>
      </w:r>
    </w:p>
    <w:p>
      <w:pPr>
        <w:pStyle w:val="FirstParagraph"/>
      </w:pPr>
      <w:r>
        <w:t xml:space="preserve">基于等成交量K线提取的特征（表现最优）：</w:t>
      </w:r>
    </w:p>
    <w:bookmarkStart w:id="36" w:name="因子分类-1"/>
    <w:p>
      <w:pPr>
        <w:pStyle w:val="Heading4"/>
      </w:pPr>
      <w:r>
        <w:t xml:space="preserve">因子分类：</w:t>
      </w:r>
    </w:p>
    <w:p>
      <w:pPr>
        <w:pStyle w:val="FirstParagraph"/>
      </w:pPr>
      <w:r>
        <w:rPr>
          <w:b/>
          <w:bCs/>
        </w:rPr>
        <w:t xml:space="preserve">1. 量-时动态</w:t>
      </w:r>
      <w:r>
        <w:t xml:space="preserve"> </w:t>
      </w:r>
      <w:r>
        <w:t xml:space="preserve">- 交易速度（每根等量K线对应时间）</w:t>
      </w:r>
      <w:r>
        <w:t xml:space="preserve"> </w:t>
      </w:r>
      <w:r>
        <w:t xml:space="preserve">- 成交量加速度</w:t>
      </w:r>
      <w:r>
        <w:t xml:space="preserve"> </w:t>
      </w:r>
      <w:r>
        <w:t xml:space="preserve">- 等量K线完成模式</w:t>
      </w:r>
    </w:p>
    <w:p>
      <w:pPr>
        <w:pStyle w:val="BodyText"/>
      </w:pPr>
      <w:r>
        <w:rPr>
          <w:b/>
          <w:bCs/>
        </w:rPr>
        <w:t xml:space="preserve">2. 量价效率</w:t>
      </w:r>
      <w:r>
        <w:t xml:space="preserve"> </w:t>
      </w:r>
      <w:r>
        <w:t xml:space="preserve">- 单位成交量价格位移</w:t>
      </w:r>
      <w:r>
        <w:t xml:space="preserve"> </w:t>
      </w:r>
      <w:r>
        <w:t xml:space="preserve">- 效率比率</w:t>
      </w:r>
      <w:r>
        <w:t xml:space="preserve"> </w:t>
      </w:r>
      <w:r>
        <w:t xml:space="preserve">- 成交量加权价格趋势</w:t>
      </w:r>
    </w:p>
    <w:p>
      <w:pPr>
        <w:pStyle w:val="BodyText"/>
      </w:pPr>
      <w:r>
        <w:rPr>
          <w:b/>
          <w:bCs/>
        </w:rPr>
        <w:t xml:space="preserve">3. 市场微观结构</w:t>
      </w:r>
      <w:r>
        <w:t xml:space="preserve"> </w:t>
      </w:r>
      <w:r>
        <w:t xml:space="preserve">- 订单流毒性</w:t>
      </w:r>
      <w:r>
        <w:t xml:space="preserve"> </w:t>
      </w:r>
      <w:r>
        <w:t xml:space="preserve">- 知情交易检测</w:t>
      </w:r>
      <w:r>
        <w:t xml:space="preserve"> </w:t>
      </w:r>
      <w:r>
        <w:t xml:space="preserve">- 成交量聚类分析</w:t>
      </w:r>
    </w:p>
    <w:p>
      <w:pPr>
        <w:pStyle w:val="BodyText"/>
      </w:pPr>
      <w:r>
        <w:rPr>
          <w:b/>
          <w:bCs/>
        </w:rPr>
        <w:t xml:space="preserve">回测表现</w:t>
      </w:r>
      <w:r>
        <w:t xml:space="preserve">：</w:t>
      </w:r>
      <w:r>
        <w:t xml:space="preserve"> </w:t>
      </w:r>
      <w:r>
        <w:t xml:space="preserve">| 指标 | 数值 |</w:t>
      </w:r>
      <w:r>
        <w:t xml:space="preserve"> </w:t>
      </w:r>
      <w:r>
        <w:t xml:space="preserve">|——|——|</w:t>
      </w:r>
      <w:r>
        <w:t xml:space="preserve"> </w:t>
      </w:r>
      <w:r>
        <w:t xml:space="preserve">| RankIC |</w:t>
      </w:r>
      <w:r>
        <w:t xml:space="preserve"> </w:t>
      </w:r>
      <w:r>
        <w:rPr>
          <w:b/>
          <w:bCs/>
        </w:rPr>
        <w:t xml:space="preserve">11.64%（三种方法中最高）</w:t>
      </w:r>
      <w:r>
        <w:t xml:space="preserve"> </w:t>
      </w:r>
      <w:r>
        <w:t xml:space="preserve">|</w:t>
      </w:r>
      <w:r>
        <w:t xml:space="preserve"> </w:t>
      </w:r>
      <w:r>
        <w:t xml:space="preserve">| 跨市场环境稳定性 | 优秀 |</w:t>
      </w:r>
      <w:r>
        <w:t xml:space="preserve"> </w:t>
      </w:r>
      <w:r>
        <w:t xml:space="preserve">| 中证1000组合夏普比率 | 显著提升 |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三逐笔成交因子100个因子"/>
    <w:p>
      <w:pPr>
        <w:pStyle w:val="Heading3"/>
      </w:pPr>
      <w:r>
        <w:t xml:space="preserve">（三）逐笔成交因子（100个因子）</w:t>
      </w:r>
    </w:p>
    <w:p>
      <w:pPr>
        <w:pStyle w:val="FirstParagraph"/>
      </w:pPr>
      <w:r>
        <w:t xml:space="preserve">基于 Tick 级别数据提取的超高频特征：</w:t>
      </w:r>
    </w:p>
    <w:bookmarkStart w:id="38" w:name="因子分类-2"/>
    <w:p>
      <w:pPr>
        <w:pStyle w:val="Heading4"/>
      </w:pPr>
      <w:r>
        <w:t xml:space="preserve">因子分类：</w:t>
      </w:r>
    </w:p>
    <w:p>
      <w:pPr>
        <w:pStyle w:val="FirstParagraph"/>
      </w:pPr>
      <w:r>
        <w:rPr>
          <w:b/>
          <w:bCs/>
        </w:rPr>
        <w:t xml:space="preserve">1. 订单流指标</w:t>
      </w:r>
      <w:r>
        <w:t xml:space="preserve"> </w:t>
      </w:r>
      <w:r>
        <w:t xml:space="preserve">- 净买入压力</w:t>
      </w:r>
      <w:r>
        <w:t xml:space="preserve"> </w:t>
      </w:r>
      <w:r>
        <w:t xml:space="preserve">- 订单流失衡</w:t>
      </w:r>
      <w:r>
        <w:t xml:space="preserve"> </w:t>
      </w:r>
      <w:r>
        <w:t xml:space="preserve">- 主动买入 vs. 被动成交</w:t>
      </w:r>
      <w:r>
        <w:t xml:space="preserve"> </w:t>
      </w:r>
      <w:r>
        <w:t xml:space="preserve">- 大单识别</w:t>
      </w:r>
    </w:p>
    <w:p>
      <w:pPr>
        <w:pStyle w:val="BodyText"/>
      </w:pPr>
      <w:r>
        <w:rPr>
          <w:b/>
          <w:bCs/>
        </w:rPr>
        <w:t xml:space="preserve">2. 价格发现</w:t>
      </w:r>
      <w:r>
        <w:t xml:space="preserve"> </w:t>
      </w:r>
      <w:r>
        <w:t xml:space="preserve">- 报价更新频率</w:t>
      </w:r>
      <w:r>
        <w:t xml:space="preserve"> </w:t>
      </w:r>
      <w:r>
        <w:t xml:space="preserve">- 价格创新度量</w:t>
      </w:r>
      <w:r>
        <w:t xml:space="preserve"> </w:t>
      </w:r>
      <w:r>
        <w:t xml:space="preserve">- 信息到达模式</w:t>
      </w:r>
    </w:p>
    <w:p>
      <w:pPr>
        <w:pStyle w:val="BodyText"/>
      </w:pPr>
      <w:r>
        <w:rPr>
          <w:b/>
          <w:bCs/>
        </w:rPr>
        <w:t xml:space="preserve">3. 流动性指标</w:t>
      </w:r>
      <w:r>
        <w:t xml:space="preserve"> </w:t>
      </w:r>
      <w:r>
        <w:t xml:space="preserve">- 有效价差</w:t>
      </w:r>
      <w:r>
        <w:t xml:space="preserve"> </w:t>
      </w:r>
      <w:r>
        <w:t xml:space="preserve">- 价格冲击度量</w:t>
      </w:r>
      <w:r>
        <w:t xml:space="preserve"> </w:t>
      </w:r>
      <w:r>
        <w:t xml:space="preserve">- 深度失衡</w:t>
      </w:r>
      <w:r>
        <w:t xml:space="preserve"> </w:t>
      </w:r>
      <w:r>
        <w:t xml:space="preserve">- 流动性供给模式</w:t>
      </w:r>
    </w:p>
    <w:p>
      <w:pPr>
        <w:pStyle w:val="BodyText"/>
      </w:pPr>
      <w:r>
        <w:rPr>
          <w:b/>
          <w:bCs/>
        </w:rPr>
        <w:t xml:space="preserve">4. 时间特征</w:t>
      </w:r>
      <w:r>
        <w:t xml:space="preserve"> </w:t>
      </w:r>
      <w:r>
        <w:t xml:space="preserve">- 成交到达时间分布</w:t>
      </w:r>
      <w:r>
        <w:t xml:space="preserve"> </w:t>
      </w:r>
      <w:r>
        <w:t xml:space="preserve">- 报价更新聚类</w:t>
      </w:r>
      <w:r>
        <w:t xml:space="preserve"> </w:t>
      </w:r>
      <w:r>
        <w:t xml:space="preserve">- 事件同步性</w:t>
      </w:r>
    </w:p>
    <w:p>
      <w:pPr>
        <w:pStyle w:val="BodyText"/>
      </w:pPr>
      <w:r>
        <w:rPr>
          <w:b/>
          <w:bCs/>
        </w:rPr>
        <w:t xml:space="preserve">回测表现</w:t>
      </w:r>
      <w:r>
        <w:t xml:space="preserve">：</w:t>
      </w:r>
      <w:r>
        <w:t xml:space="preserve"> </w:t>
      </w:r>
      <w:r>
        <w:t xml:space="preserve">| 指标 | 数值 |</w:t>
      </w:r>
      <w:r>
        <w:t xml:space="preserve"> </w:t>
      </w:r>
      <w:r>
        <w:t xml:space="preserve">|——|——|</w:t>
      </w:r>
      <w:r>
        <w:t xml:space="preserve"> </w:t>
      </w:r>
      <w:r>
        <w:t xml:space="preserve">| RankIC | 11.32% |</w:t>
      </w:r>
      <w:r>
        <w:t xml:space="preserve"> </w:t>
      </w:r>
      <w:r>
        <w:t xml:space="preserve">| 换手率 | 较高，但Alpha生成能力强 |</w:t>
      </w:r>
      <w:r>
        <w:t xml:space="preserve"> </w:t>
      </w:r>
      <w:r>
        <w:t xml:space="preserve">| 适用场景 | 短期交易策略 |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3" w:name="三进阶模型架构"/>
    <w:p>
      <w:pPr>
        <w:pStyle w:val="Heading2"/>
      </w:pPr>
      <w:r>
        <w:t xml:space="preserve">三、进阶模型架构</w:t>
      </w:r>
    </w:p>
    <w:bookmarkStart w:id="41" w:name="一transformer-系列模型"/>
    <w:p>
      <w:pPr>
        <w:pStyle w:val="Heading3"/>
      </w:pPr>
      <w:r>
        <w:t xml:space="preserve">（一）Transformer 系列模型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标准 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跨变量注意力机制、多头注意力、位置编码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优于传统机器学习的特征学习能力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iTransformer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变量独立预测、更好的长期依赖捕获、降低过拟合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稳定性最优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跨维度注意力、两阶段注意力（跨时间+跨维度）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多因子整合效果最佳</w:t>
            </w:r>
          </w:p>
        </w:tc>
      </w:tr>
    </w:tbl>
    <w:p>
      <w:pPr>
        <w:pStyle w:val="BodyText"/>
      </w:pPr>
      <w:r>
        <w:rPr>
          <w:b/>
          <w:bCs/>
        </w:rPr>
        <w:t xml:space="preserve">模型对比结论</w:t>
      </w:r>
      <w:r>
        <w:t xml:space="preserve">：</w:t>
      </w:r>
      <w:r>
        <w:t xml:space="preserve"> </w:t>
      </w:r>
      <w:r>
        <w:t xml:space="preserve">- 所有 Transformer 变体均优于传统模型（XGBoost、LightGBM）</w:t>
      </w:r>
      <w:r>
        <w:t xml:space="preserve"> </w:t>
      </w:r>
      <w:r>
        <w:t xml:space="preserve">- Crossformer 的 RankIC 稳定性最好</w:t>
      </w:r>
      <w:r>
        <w:t xml:space="preserve"> </w:t>
      </w:r>
      <w:r>
        <w:t xml:space="preserve">- iTransformer 的因子衰减最慢</w:t>
      </w:r>
    </w:p>
    <w:p>
      <w:r>
        <w:pict>
          <v:rect style="width:0;height:1.5pt" o:hralign="center" o:hrstd="t" o:hr="t"/>
        </w:pict>
      </w:r>
    </w:p>
    <w:bookmarkEnd w:id="41"/>
    <w:bookmarkStart w:id="42" w:name="二标签端创新收益率序列预测"/>
    <w:p>
      <w:pPr>
        <w:pStyle w:val="Heading3"/>
      </w:pPr>
      <w:r>
        <w:t xml:space="preserve">（二）标签端创新：收益率序列预测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改进方法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预测目标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下一期总收益率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逐日收益率序列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监督信号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单一数据点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多个数据点，信息更丰富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时序学习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捕获收益率动态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噪声处理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对单期异常敏感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平滑处理，更鲁棒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泛化能力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更强</w:t>
            </w:r>
          </w:p>
        </w:tc>
      </w:tr>
    </w:tbl>
    <w:p>
      <w:pPr>
        <w:pStyle w:val="BodyText"/>
      </w:pPr>
      <w:r>
        <w:rPr>
          <w:b/>
          <w:bCs/>
        </w:rPr>
        <w:t xml:space="preserve">性能提升</w:t>
      </w:r>
      <w:r>
        <w:t xml:space="preserve">：</w:t>
      </w:r>
      <w:r>
        <w:t xml:space="preserve"> </w:t>
      </w:r>
      <w:r>
        <w:t xml:space="preserve">- RankIC 提升：+0.5% ~ +1.2%</w:t>
      </w:r>
      <w:r>
        <w:t xml:space="preserve"> </w:t>
      </w:r>
      <w:r>
        <w:t xml:space="preserve">- 夏普比率提升：+0.1 ~ +0.3</w:t>
      </w:r>
      <w:r>
        <w:t xml:space="preserve"> </w:t>
      </w:r>
      <w:r>
        <w:t xml:space="preserve">- 因子衰减曲线更平稳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四因子择时与策略配置"/>
    <w:p>
      <w:pPr>
        <w:pStyle w:val="Heading2"/>
      </w:pPr>
      <w:r>
        <w:t xml:space="preserve">四、因子择时与策略配置</w:t>
      </w:r>
    </w:p>
    <w:bookmarkStart w:id="44" w:name="一多策略配置"/>
    <w:p>
      <w:pPr>
        <w:pStyle w:val="Heading3"/>
      </w:pPr>
      <w:r>
        <w:t xml:space="preserve">（一）多策略配置</w:t>
      </w:r>
    </w:p>
    <w:p>
      <w:pPr>
        <w:pStyle w:val="FirstParagraph"/>
      </w:pPr>
      <w:r>
        <w:rPr>
          <w:b/>
          <w:bCs/>
        </w:rPr>
        <w:t xml:space="preserve">方法论</w:t>
      </w:r>
      <w:r>
        <w:t xml:space="preserve">：</w:t>
      </w:r>
      <w:r>
        <w:t xml:space="preserve"> </w:t>
      </w:r>
      <w:r>
        <w:t xml:space="preserve">- 动态权重分配（多因子策略间）</w:t>
      </w:r>
      <w:r>
        <w:t xml:space="preserve"> </w:t>
      </w:r>
      <w:r>
        <w:t xml:space="preserve">- 基于相关性的分散化</w:t>
      </w:r>
      <w:r>
        <w:t xml:space="preserve"> </w:t>
      </w:r>
      <w:r>
        <w:t xml:space="preserve">- 风险平价考量</w:t>
      </w:r>
    </w:p>
    <w:p>
      <w:pPr>
        <w:pStyle w:val="BodyText"/>
      </w:pPr>
      <w:r>
        <w:rPr>
          <w:b/>
          <w:bCs/>
        </w:rPr>
        <w:t xml:space="preserve">组合策略</w:t>
      </w:r>
      <w:r>
        <w:t xml:space="preserve">：</w:t>
      </w:r>
      <w:r>
        <w:t xml:space="preserve"> </w:t>
      </w:r>
      <w:r>
        <w:t xml:space="preserve">1. 行业域策略</w:t>
      </w:r>
      <w:r>
        <w:t xml:space="preserve"> </w:t>
      </w:r>
      <w:r>
        <w:t xml:space="preserve">2. 风格域策略</w:t>
      </w:r>
      <w:r>
        <w:t xml:space="preserve"> </w:t>
      </w:r>
      <w:r>
        <w:t xml:space="preserve">3. 因子择时叠加</w:t>
      </w:r>
      <w:r>
        <w:t xml:space="preserve"> </w:t>
      </w:r>
      <w:r>
        <w:t xml:space="preserve">4. 高频Alpha策略</w:t>
      </w:r>
    </w:p>
    <w:p>
      <w:pPr>
        <w:pStyle w:val="BodyText"/>
      </w:pPr>
      <w:r>
        <w:rPr>
          <w:b/>
          <w:bCs/>
        </w:rPr>
        <w:t xml:space="preserve">效果</w:t>
      </w:r>
      <w:r>
        <w:t xml:space="preserve">：回撤显著降低，风险调整收益提升，跨行情稳定性增强</w:t>
      </w:r>
    </w:p>
    <w:p>
      <w:r>
        <w:pict>
          <v:rect style="width:0;height:1.5pt" o:hralign="center" o:hrstd="t" o:hr="t"/>
        </w:pict>
      </w:r>
    </w:p>
    <w:bookmarkEnd w:id="44"/>
    <w:bookmarkStart w:id="46" w:name="二因子择时"/>
    <w:p>
      <w:pPr>
        <w:pStyle w:val="Heading3"/>
      </w:pPr>
      <w:r>
        <w:t xml:space="preserve">（二）因子择时</w:t>
      </w:r>
    </w:p>
    <w:bookmarkStart w:id="45" w:name="择时信号体系"/>
    <w:p>
      <w:pPr>
        <w:pStyle w:val="Heading4"/>
      </w:pPr>
      <w:r>
        <w:t xml:space="preserve">择时信号体系：</w:t>
      </w:r>
    </w:p>
    <w:p>
      <w:pPr>
        <w:pStyle w:val="FirstParagraph"/>
      </w:pPr>
      <w:r>
        <w:rPr>
          <w:b/>
          <w:bCs/>
        </w:rPr>
        <w:t xml:space="preserve">1. 市场状态指标</w:t>
      </w:r>
      <w:r>
        <w:t xml:space="preserve"> </w:t>
      </w:r>
      <w:r>
        <w:t xml:space="preserve">- 波动率状态（VIX等价指标）</w:t>
      </w:r>
      <w:r>
        <w:t xml:space="preserve"> </w:t>
      </w:r>
      <w:r>
        <w:t xml:space="preserve">- 流动性环境</w:t>
      </w:r>
      <w:r>
        <w:t xml:space="preserve"> </w:t>
      </w:r>
      <w:r>
        <w:t xml:space="preserve">- 市场宽度</w:t>
      </w:r>
    </w:p>
    <w:p>
      <w:pPr>
        <w:pStyle w:val="BodyText"/>
      </w:pPr>
      <w:r>
        <w:rPr>
          <w:b/>
          <w:bCs/>
        </w:rPr>
        <w:t xml:space="preserve">2. 因子专属择时</w:t>
      </w:r>
      <w:r>
        <w:t xml:space="preserve"> </w:t>
      </w:r>
      <w:r>
        <w:t xml:space="preserve">- 因子拥挤度</w:t>
      </w:r>
      <w:r>
        <w:t xml:space="preserve"> </w:t>
      </w:r>
      <w:r>
        <w:t xml:space="preserve">- 因子动量</w:t>
      </w:r>
      <w:r>
        <w:t xml:space="preserve"> </w:t>
      </w:r>
      <w:r>
        <w:t xml:space="preserve">- 因子估值（因子是否处于便宜/昂贵状态）</w:t>
      </w:r>
    </w:p>
    <w:p>
      <w:pPr>
        <w:pStyle w:val="BodyText"/>
      </w:pPr>
      <w:r>
        <w:rPr>
          <w:b/>
          <w:bCs/>
        </w:rPr>
        <w:t xml:space="preserve">3. 宏观条件</w:t>
      </w:r>
      <w:r>
        <w:t xml:space="preserve"> </w:t>
      </w:r>
      <w:r>
        <w:t xml:space="preserve">- 信用利差</w:t>
      </w:r>
      <w:r>
        <w:t xml:space="preserve"> </w:t>
      </w:r>
      <w:r>
        <w:t xml:space="preserve">- 收益率曲线形态</w:t>
      </w:r>
      <w:r>
        <w:t xml:space="preserve"> </w:t>
      </w:r>
      <w:r>
        <w:t xml:space="preserve">- 经济周期指标</w:t>
      </w:r>
    </w:p>
    <w:p>
      <w:pPr>
        <w:pStyle w:val="BodyText"/>
      </w:pPr>
      <w:r>
        <w:rPr>
          <w:b/>
          <w:bCs/>
        </w:rPr>
        <w:t xml:space="preserve">实施方式</w:t>
      </w:r>
      <w:r>
        <w:t xml:space="preserve">：</w:t>
      </w:r>
      <w:r>
        <w:t xml:space="preserve"> </w:t>
      </w:r>
      <w:r>
        <w:t xml:space="preserve">- 有利环境增加因子暴露</w:t>
      </w:r>
      <w:r>
        <w:t xml:space="preserve"> </w:t>
      </w:r>
      <w:r>
        <w:t xml:space="preserve">- 不利环境降低因子暴露</w:t>
      </w:r>
      <w:r>
        <w:t xml:space="preserve"> </w:t>
      </w:r>
      <w:r>
        <w:t xml:space="preserve">- 基于信号动态调仓</w:t>
      </w:r>
    </w:p>
    <w:p>
      <w:pPr>
        <w:pStyle w:val="BodyText"/>
      </w:pPr>
      <w:r>
        <w:rPr>
          <w:b/>
          <w:bCs/>
        </w:rPr>
        <w:t xml:space="preserve">效果</w:t>
      </w:r>
      <w:r>
        <w:t xml:space="preserve">：</w:t>
      </w:r>
      <w:r>
        <w:t xml:space="preserve"> </w:t>
      </w:r>
      <w:r>
        <w:t xml:space="preserve">- 夏普比率提升：15-25%</w:t>
      </w:r>
      <w:r>
        <w:t xml:space="preserve"> </w:t>
      </w:r>
      <w:r>
        <w:t xml:space="preserve">- 最大回撤降低：20-30%</w:t>
      </w:r>
      <w:r>
        <w:t xml:space="preserve"> </w:t>
      </w:r>
      <w:r>
        <w:t xml:space="preserve">- 胜率提升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9" w:name="五回测业绩汇总"/>
    <w:p>
      <w:pPr>
        <w:pStyle w:val="Heading2"/>
      </w:pPr>
      <w:r>
        <w:t xml:space="preserve">五、回测业绩汇总</w:t>
      </w:r>
    </w:p>
    <w:bookmarkStart w:id="48" w:name="中证1000指数增强策略2017-2025"/>
    <w:p>
      <w:pPr>
        <w:pStyle w:val="Heading3"/>
      </w:pPr>
      <w:r>
        <w:t xml:space="preserve">中证1000指数增强策略（2017-2025）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1320"/>
        <w:gridCol w:w="1320"/>
        <w:gridCol w:w="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策略类型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年化超额收益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信息比率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夏普比率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最大回撤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胜率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高频量价策略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19-21%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1.8-2.2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1.5-1.9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-15%~-18%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55-60%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基本面策略（Intellidex）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1.2-1.6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1.0-1.4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-12%~-16%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52-56%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多策略复合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2.0-2.5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1.6-2.0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-10%~-14%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58-62%</w:t>
            </w:r>
          </w:p>
        </w:tc>
      </w:tr>
    </w:tbl>
    <w:p>
      <w:pPr>
        <w:pStyle w:val="BodyText"/>
      </w:pPr>
      <w:r>
        <w:rPr>
          <w:b/>
          <w:bCs/>
        </w:rPr>
        <w:t xml:space="preserve">基本面策略补充</w:t>
      </w:r>
      <w:r>
        <w:t xml:space="preserve">：年化换手率200-400%，适合大规模资金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六因子有效性排名"/>
    <w:p>
      <w:pPr>
        <w:pStyle w:val="Heading2"/>
      </w:pPr>
      <w:r>
        <w:t xml:space="preserve">六、因子有效性排名</w:t>
      </w:r>
    </w:p>
    <w:bookmarkStart w:id="50" w:name="第一梯队rankic-8ir-1.5"/>
    <w:p>
      <w:pPr>
        <w:pStyle w:val="Heading3"/>
      </w:pPr>
      <w:r>
        <w:t xml:space="preserve">第一梯队（RankIC &gt; 8%，IR &gt; 1.5）</w:t>
      </w:r>
    </w:p>
    <w:p>
      <w:pPr>
        <w:pStyle w:val="Compact"/>
        <w:numPr>
          <w:ilvl w:val="0"/>
          <w:numId w:val="1004"/>
        </w:numPr>
      </w:pPr>
      <w:r>
        <w:t xml:space="preserve">等量K线因子（RankIC: 11.64%）</w:t>
      </w:r>
    </w:p>
    <w:p>
      <w:pPr>
        <w:pStyle w:val="Compact"/>
        <w:numPr>
          <w:ilvl w:val="0"/>
          <w:numId w:val="1004"/>
        </w:numPr>
      </w:pPr>
      <w:r>
        <w:t xml:space="preserve">Tick逐笔因子（RankIC: 11.32%）</w:t>
      </w:r>
    </w:p>
    <w:p>
      <w:pPr>
        <w:pStyle w:val="Compact"/>
        <w:numPr>
          <w:ilvl w:val="0"/>
          <w:numId w:val="1004"/>
        </w:numPr>
      </w:pPr>
      <w:r>
        <w:t xml:space="preserve">GPT分钟线因子（RankIC: 11.18%）</w:t>
      </w:r>
    </w:p>
    <w:p>
      <w:pPr>
        <w:pStyle w:val="Compact"/>
        <w:numPr>
          <w:ilvl w:val="0"/>
          <w:numId w:val="1004"/>
        </w:numPr>
      </w:pPr>
      <w:r>
        <w:t xml:space="preserve">盈利动量复合因子</w:t>
      </w:r>
    </w:p>
    <w:p>
      <w:pPr>
        <w:pStyle w:val="Compact"/>
        <w:numPr>
          <w:ilvl w:val="0"/>
          <w:numId w:val="1004"/>
        </w:numPr>
      </w:pPr>
      <w:r>
        <w:t xml:space="preserve">质量-动量交互因子</w:t>
      </w:r>
    </w:p>
    <w:bookmarkEnd w:id="50"/>
    <w:bookmarkStart w:id="51" w:name="第二梯队rankic-5-8ir-1.0-1.5"/>
    <w:p>
      <w:pPr>
        <w:pStyle w:val="Heading3"/>
      </w:pPr>
      <w:r>
        <w:t xml:space="preserve">第二梯队（RankIC 5-8%，IR 1.0-1.5）</w:t>
      </w:r>
    </w:p>
    <w:p>
      <w:pPr>
        <w:pStyle w:val="Compact"/>
        <w:numPr>
          <w:ilvl w:val="0"/>
          <w:numId w:val="1005"/>
        </w:numPr>
      </w:pPr>
      <w:r>
        <w:t xml:space="preserve">行业方差风险溢价（VRP）</w:t>
      </w:r>
    </w:p>
    <w:p>
      <w:pPr>
        <w:pStyle w:val="Compact"/>
        <w:numPr>
          <w:ilvl w:val="0"/>
          <w:numId w:val="1005"/>
        </w:numPr>
      </w:pPr>
      <w:r>
        <w:t xml:space="preserve">残差动量</w:t>
      </w:r>
    </w:p>
    <w:p>
      <w:pPr>
        <w:pStyle w:val="Compact"/>
        <w:numPr>
          <w:ilvl w:val="0"/>
          <w:numId w:val="1005"/>
        </w:numPr>
      </w:pPr>
      <w:r>
        <w:t xml:space="preserve">多维度价值复合因子</w:t>
      </w:r>
    </w:p>
    <w:p>
      <w:pPr>
        <w:pStyle w:val="Compact"/>
        <w:numPr>
          <w:ilvl w:val="0"/>
          <w:numId w:val="1005"/>
        </w:numPr>
      </w:pPr>
      <w:r>
        <w:t xml:space="preserve">行业隐含相关性指标</w:t>
      </w:r>
    </w:p>
    <w:p>
      <w:pPr>
        <w:pStyle w:val="Compact"/>
        <w:numPr>
          <w:ilvl w:val="0"/>
          <w:numId w:val="1005"/>
        </w:numPr>
      </w:pPr>
      <w:r>
        <w:t xml:space="preserve">管理层行为复合因子</w:t>
      </w:r>
    </w:p>
    <w:bookmarkEnd w:id="51"/>
    <w:bookmarkStart w:id="52" w:name="第三梯队rankic-3-5ir-0.8-1.0"/>
    <w:p>
      <w:pPr>
        <w:pStyle w:val="Heading3"/>
      </w:pPr>
      <w:r>
        <w:t xml:space="preserve">第三梯队（RankIC 3-5%，IR 0.8-1.0）</w:t>
      </w:r>
    </w:p>
    <w:p>
      <w:pPr>
        <w:pStyle w:val="Compact"/>
        <w:numPr>
          <w:ilvl w:val="0"/>
          <w:numId w:val="1006"/>
        </w:numPr>
      </w:pPr>
      <w:r>
        <w:t xml:space="preserve">传统估值因子（P/E、P/B）</w:t>
      </w:r>
    </w:p>
    <w:p>
      <w:pPr>
        <w:pStyle w:val="Compact"/>
        <w:numPr>
          <w:ilvl w:val="0"/>
          <w:numId w:val="1006"/>
        </w:numPr>
      </w:pPr>
      <w:r>
        <w:t xml:space="preserve">简单动量指标</w:t>
      </w:r>
    </w:p>
    <w:p>
      <w:pPr>
        <w:pStyle w:val="Compact"/>
        <w:numPr>
          <w:ilvl w:val="0"/>
          <w:numId w:val="1006"/>
        </w:numPr>
      </w:pPr>
      <w:r>
        <w:t xml:space="preserve">基础质量指标</w:t>
      </w:r>
    </w:p>
    <w:p>
      <w:pPr>
        <w:pStyle w:val="Compact"/>
        <w:numPr>
          <w:ilvl w:val="0"/>
          <w:numId w:val="1006"/>
        </w:numPr>
      </w:pPr>
      <w:r>
        <w:t xml:space="preserve">行业动量</w:t>
      </w:r>
    </w:p>
    <w:bookmarkEnd w:id="52"/>
    <w:bookmarkStart w:id="53" w:name="防御分散化类"/>
    <w:p>
      <w:pPr>
        <w:pStyle w:val="Heading3"/>
      </w:pPr>
      <w:r>
        <w:t xml:space="preserve">防御/分散化类</w:t>
      </w:r>
    </w:p>
    <w:p>
      <w:pPr>
        <w:pStyle w:val="Compact"/>
        <w:numPr>
          <w:ilvl w:val="0"/>
          <w:numId w:val="1007"/>
        </w:numPr>
      </w:pPr>
      <w:r>
        <w:t xml:space="preserve">财务健康指标</w:t>
      </w:r>
    </w:p>
    <w:p>
      <w:pPr>
        <w:pStyle w:val="Compact"/>
        <w:numPr>
          <w:ilvl w:val="0"/>
          <w:numId w:val="1007"/>
        </w:numPr>
      </w:pPr>
      <w:r>
        <w:t xml:space="preserve">应计质量</w:t>
      </w:r>
    </w:p>
    <w:p>
      <w:pPr>
        <w:pStyle w:val="Compact"/>
        <w:numPr>
          <w:ilvl w:val="0"/>
          <w:numId w:val="1007"/>
        </w:numPr>
      </w:pPr>
      <w:r>
        <w:t xml:space="preserve">现金流质量</w:t>
      </w:r>
    </w:p>
    <w:p>
      <w:pPr>
        <w:pStyle w:val="Compact"/>
        <w:numPr>
          <w:ilvl w:val="0"/>
          <w:numId w:val="1007"/>
        </w:numPr>
      </w:pPr>
      <w:r>
        <w:t xml:space="preserve">分红一致性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七实施要点"/>
    <w:p>
      <w:pPr>
        <w:pStyle w:val="Heading2"/>
      </w:pPr>
      <w:r>
        <w:t xml:space="preserve">七、实施要点</w:t>
      </w:r>
    </w:p>
    <w:bookmarkStart w:id="55" w:name="一数据要求"/>
    <w:p>
      <w:pPr>
        <w:pStyle w:val="Heading3"/>
      </w:pPr>
      <w:r>
        <w:t xml:space="preserve">（一）数据要求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因子类型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基本面因子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财务报表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基本面因子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分析师预测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基本面因子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公司行为数据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基本面因子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股东持股数据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月度/季度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高频因子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分钟线数据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高频因子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Tick数据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微秒级精度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高频因子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委托簿快照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高频因子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逐笔成交记录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</w:t>
            </w:r>
          </w:p>
        </w:tc>
      </w:tr>
    </w:tbl>
    <w:bookmarkEnd w:id="55"/>
    <w:bookmarkStart w:id="56" w:name="二算力要求"/>
    <w:p>
      <w:pPr>
        <w:pStyle w:val="Heading3"/>
      </w:pPr>
      <w:r>
        <w:t xml:space="preserve">（二）算力要求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推荐GPU，Transformer模型训练时间100-300小时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大数据集需50-100GB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再训练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建议每月一次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因子计算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高频因子需实时计算，基本面因子每日更新</w:t>
            </w:r>
          </w:p>
        </w:tc>
      </w:tr>
    </w:tbl>
    <w:bookmarkEnd w:id="56"/>
    <w:bookmarkStart w:id="57" w:name="三交易成本"/>
    <w:p>
      <w:pPr>
        <w:pStyle w:val="Heading3"/>
      </w:pPr>
      <w:r>
        <w:t xml:space="preserve">（三）交易成本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策略类型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年化换手率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佣金影响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冲击成本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扣费后超额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高频策略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800-1200%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-3%~-5%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-1%~-2%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基本面策略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200-400%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-0.8%~-1.2%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-0.3%~-0.5%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7-10%</w:t>
            </w:r>
          </w:p>
        </w:tc>
      </w:tr>
    </w:tbl>
    <w:bookmarkEnd w:id="57"/>
    <w:bookmarkStart w:id="58" w:name="四策略容量"/>
    <w:p>
      <w:pPr>
        <w:pStyle w:val="Heading3"/>
      </w:pPr>
      <w:r>
        <w:t xml:space="preserve">（四）策略容量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策略类型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最优容量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容量上限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适合规模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高频策略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5-20亿元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30亿元以上衰减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中小型基金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基本面策略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20-100亿元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200亿元+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大型基金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4" w:name="八投资策略建议"/>
    <w:p>
      <w:pPr>
        <w:pStyle w:val="Heading2"/>
      </w:pPr>
      <w:r>
        <w:t xml:space="preserve">八、投资策略建议</w:t>
      </w:r>
    </w:p>
    <w:bookmarkStart w:id="60" w:name="策略一纯高频alpha策略"/>
    <w:p>
      <w:pPr>
        <w:pStyle w:val="Heading3"/>
      </w:pPr>
      <w:r>
        <w:t xml:space="preserve">策略一：纯高频Alpha策略</w:t>
      </w:r>
    </w:p>
    <w:p>
      <w:pPr>
        <w:pStyle w:val="FirstParagraph"/>
      </w:pPr>
      <w:r>
        <w:rPr>
          <w:b/>
          <w:bCs/>
        </w:rPr>
        <w:t xml:space="preserve">适用投资者</w:t>
      </w:r>
      <w:r>
        <w:t xml:space="preserve">：小型对冲基金、自营交易台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等量K线因子（RankIC最高）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iTransformer（稳定性最优）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标签设计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收益率序列预测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调仓频率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选股域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中证1000成分股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毛超额收益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19-21%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净超额收益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夏普比率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1.5-1.7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换手率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800-1000%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风险提示</w:t>
      </w:r>
      <w:r>
        <w:t xml:space="preserve">：换手成本高、容量受限、模型衰减需频繁再训练、基础设施要求高</w:t>
      </w:r>
    </w:p>
    <w:p>
      <w:r>
        <w:pict>
          <v:rect style="width:0;height:1.5pt" o:hralign="center" o:hrstd="t" o:hr="t"/>
        </w:pict>
      </w:r>
    </w:p>
    <w:bookmarkEnd w:id="60"/>
    <w:bookmarkStart w:id="61" w:name="策略二基本面多因子策略"/>
    <w:p>
      <w:pPr>
        <w:pStyle w:val="Heading3"/>
      </w:pPr>
      <w:r>
        <w:t xml:space="preserve">策略二：基本面多因子策略</w:t>
      </w:r>
    </w:p>
    <w:p>
      <w:pPr>
        <w:pStyle w:val="FirstParagraph"/>
      </w:pPr>
      <w:r>
        <w:rPr>
          <w:b/>
          <w:bCs/>
        </w:rPr>
        <w:t xml:space="preserve">适用投资者</w:t>
      </w:r>
      <w:r>
        <w:t xml:space="preserve">：大型资管、保险资金、养老金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Intellidex 150因子库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权重方案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五大类别初始等权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核心调仓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战术调整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选股域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沪深300 + 中证500 + 中证1000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毛超额收益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净超额收益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夏普比率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1.2-1.5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换手率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250-350%</w:t>
            </w:r>
          </w:p>
        </w:tc>
      </w:tr>
    </w:tbl>
    <w:p>
      <w:pPr>
        <w:pStyle w:val="BodyText"/>
      </w:pPr>
      <w:r>
        <w:rPr>
          <w:b/>
          <w:bCs/>
        </w:rPr>
        <w:t xml:space="preserve">风险提示</w:t>
      </w:r>
      <w:r>
        <w:t xml:space="preserve">：市场风格敏感、热门因子拥挤、季报窗口效应</w:t>
      </w:r>
    </w:p>
    <w:p>
      <w:r>
        <w:pict>
          <v:rect style="width:0;height:1.5pt" o:hralign="center" o:hrstd="t" o:hr="t"/>
        </w:pict>
      </w:r>
    </w:p>
    <w:bookmarkEnd w:id="61"/>
    <w:bookmarkStart w:id="62" w:name="策略三混合多策略推荐"/>
    <w:p>
      <w:pPr>
        <w:pStyle w:val="Heading3"/>
      </w:pPr>
      <w:r>
        <w:t xml:space="preserve">策略三：混合多策略（推荐）</w:t>
      </w:r>
    </w:p>
    <w:p>
      <w:pPr>
        <w:pStyle w:val="FirstParagraph"/>
      </w:pPr>
      <w:r>
        <w:rPr>
          <w:b/>
          <w:bCs/>
        </w:rPr>
        <w:t xml:space="preserve">适用投资者</w:t>
      </w:r>
      <w:r>
        <w:t xml:space="preserve">：多策略对冲基金、成熟家族办公室</w:t>
      </w:r>
    </w:p>
    <w:p>
      <w:pPr>
        <w:pStyle w:val="BodyText"/>
      </w:pPr>
      <w:r>
        <w:rPr>
          <w:b/>
          <w:bCs/>
        </w:rPr>
        <w:t xml:space="preserve">组合架构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组成部分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调仓频率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基本面核心仓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质量+动量组合，Intellidex因子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季度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高频Alpha叠加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等量K线因子为主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战术配置层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行业VRP择时+风格择时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</w:tr>
    </w:tbl>
    <w:p/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毛超额收益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净超额收益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夏普比率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1.6-2.0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信息比率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2.0-2.3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换手率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450-550%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最大回撤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-12%~-15%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最优容量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20-50亿元</w:t>
            </w:r>
          </w:p>
        </w:tc>
      </w:tr>
    </w:tbl>
    <w:p>
      <w:pPr>
        <w:pStyle w:val="BodyText"/>
      </w:pPr>
      <w:r>
        <w:rPr>
          <w:b/>
          <w:bCs/>
        </w:rPr>
        <w:t xml:space="preserve">核心优势</w:t>
      </w:r>
      <w:r>
        <w:t xml:space="preserve">：</w:t>
      </w:r>
      <w:r>
        <w:t xml:space="preserve"> </w:t>
      </w:r>
      <w:r>
        <w:t xml:space="preserve">- 跨因子类型与频率的分散化</w:t>
      </w:r>
      <w:r>
        <w:t xml:space="preserve"> </w:t>
      </w:r>
      <w:r>
        <w:t xml:space="preserve">- 对市场风格切换的鲁棒性</w:t>
      </w:r>
      <w:r>
        <w:t xml:space="preserve"> </w:t>
      </w:r>
      <w:r>
        <w:t xml:space="preserve">- 风险调整收益最优</w:t>
      </w:r>
    </w:p>
    <w:p>
      <w:pPr>
        <w:pStyle w:val="BodyText"/>
      </w:pPr>
      <w:r>
        <w:rPr>
          <w:b/>
          <w:bCs/>
        </w:rPr>
        <w:t xml:space="preserve">实施路径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第1-2月</w:t>
      </w:r>
      <w:r>
        <w:t xml:space="preserve">：构建基本面核心组合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第3-4月</w:t>
      </w:r>
      <w:r>
        <w:t xml:space="preserve">：叠加高频Alpha层（小规模起步）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第5-6月</w:t>
      </w:r>
      <w:r>
        <w:t xml:space="preserve">：上线因子择时系统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第6月后</w:t>
      </w:r>
      <w:r>
        <w:t xml:space="preserve">：全策略运行，持续监控</w:t>
      </w:r>
    </w:p>
    <w:p>
      <w:r>
        <w:pict>
          <v:rect style="width:0;height:1.5pt" o:hralign="center" o:hrstd="t" o:hr="t"/>
        </w:pict>
      </w:r>
    </w:p>
    <w:bookmarkEnd w:id="62"/>
    <w:bookmarkStart w:id="63" w:name="策略四行业轮动策略"/>
    <w:p>
      <w:pPr>
        <w:pStyle w:val="Heading3"/>
      </w:pPr>
      <w:r>
        <w:t xml:space="preserve">策略四：行业轮动策略</w:t>
      </w:r>
    </w:p>
    <w:p>
      <w:pPr>
        <w:pStyle w:val="FirstParagraph"/>
      </w:pPr>
      <w:r>
        <w:rPr>
          <w:b/>
          <w:bCs/>
        </w:rPr>
        <w:t xml:space="preserve">适用投资者</w:t>
      </w:r>
      <w:r>
        <w:t xml:space="preserve">：行业专家型投资者、战术配置型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行业选择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行业VRP + IC因子驱动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行业内选股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Intellidex因子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行业调仓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个股调整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毛超额收益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净超额收益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10-13%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9" w:name="九风控体系"/>
    <w:p>
      <w:pPr>
        <w:pStyle w:val="Heading2"/>
      </w:pPr>
      <w:r>
        <w:t xml:space="preserve">九、风控体系</w:t>
      </w:r>
    </w:p>
    <w:bookmarkStart w:id="65" w:name="一持仓层面"/>
    <w:p>
      <w:pPr>
        <w:pStyle w:val="Heading3"/>
      </w:pPr>
      <w:r>
        <w:t xml:space="preserve">（一）持仓层面</w:t>
      </w:r>
    </w:p>
    <w:p>
      <w:pPr>
        <w:pStyle w:val="Compact"/>
        <w:numPr>
          <w:ilvl w:val="0"/>
          <w:numId w:val="1008"/>
        </w:numPr>
      </w:pPr>
      <w:r>
        <w:t xml:space="preserve">单只股票最大权重：3-5%</w:t>
      </w:r>
    </w:p>
    <w:p>
      <w:pPr>
        <w:pStyle w:val="Compact"/>
        <w:numPr>
          <w:ilvl w:val="0"/>
          <w:numId w:val="1008"/>
        </w:numPr>
      </w:pPr>
      <w:r>
        <w:t xml:space="preserve">行业集中度上限：25%（分散化策略）</w:t>
      </w:r>
    </w:p>
    <w:p>
      <w:pPr>
        <w:pStyle w:val="Compact"/>
        <w:numPr>
          <w:ilvl w:val="0"/>
          <w:numId w:val="1008"/>
        </w:numPr>
      </w:pPr>
      <w:r>
        <w:t xml:space="preserve">最低流动性要求：30日均成交额 &gt; 持仓市值 × 10</w:t>
      </w:r>
    </w:p>
    <w:p>
      <w:pPr>
        <w:pStyle w:val="Compact"/>
        <w:numPr>
          <w:ilvl w:val="0"/>
          <w:numId w:val="1008"/>
        </w:numPr>
      </w:pPr>
      <w:r>
        <w:t xml:space="preserve">止损阈值：个股 -15%，组合 -8%</w:t>
      </w:r>
    </w:p>
    <w:bookmarkEnd w:id="65"/>
    <w:bookmarkStart w:id="66" w:name="二因子暴露层面"/>
    <w:p>
      <w:pPr>
        <w:pStyle w:val="Heading3"/>
      </w:pPr>
      <w:r>
        <w:t xml:space="preserve">（二）因子暴露层面</w:t>
      </w:r>
    </w:p>
    <w:p>
      <w:pPr>
        <w:pStyle w:val="Compact"/>
        <w:numPr>
          <w:ilvl w:val="0"/>
          <w:numId w:val="1009"/>
        </w:numPr>
      </w:pPr>
      <w:r>
        <w:t xml:space="preserve">最大因子暴露：2.5 倍标准差</w:t>
      </w:r>
    </w:p>
    <w:p>
      <w:pPr>
        <w:pStyle w:val="Compact"/>
        <w:numPr>
          <w:ilvl w:val="0"/>
          <w:numId w:val="1009"/>
        </w:numPr>
      </w:pPr>
      <w:r>
        <w:t xml:space="preserve">因子拥挤度监控（跟踪同类策略AUM）</w:t>
      </w:r>
    </w:p>
    <w:p>
      <w:pPr>
        <w:pStyle w:val="Compact"/>
        <w:numPr>
          <w:ilvl w:val="0"/>
          <w:numId w:val="1009"/>
        </w:numPr>
      </w:pPr>
      <w:r>
        <w:t xml:space="preserve">因子间相关性上限：&lt; 0.6</w:t>
      </w:r>
    </w:p>
    <w:p>
      <w:pPr>
        <w:pStyle w:val="Compact"/>
        <w:numPr>
          <w:ilvl w:val="0"/>
          <w:numId w:val="1009"/>
        </w:numPr>
      </w:pPr>
      <w:r>
        <w:t xml:space="preserve">因子衰减分析：每月进行</w:t>
      </w:r>
    </w:p>
    <w:bookmarkEnd w:id="66"/>
    <w:bookmarkStart w:id="67" w:name="三模型监控"/>
    <w:p>
      <w:pPr>
        <w:pStyle w:val="Heading3"/>
      </w:pPr>
      <w:r>
        <w:t xml:space="preserve">（三）模型监控</w:t>
      </w:r>
    </w:p>
    <w:p>
      <w:pPr>
        <w:pStyle w:val="Compact"/>
        <w:numPr>
          <w:ilvl w:val="0"/>
          <w:numId w:val="1010"/>
        </w:numPr>
      </w:pPr>
      <w:r>
        <w:t xml:space="preserve">样本外 RankIC 滚动跟踪（60日窗口）</w:t>
      </w:r>
    </w:p>
    <w:p>
      <w:pPr>
        <w:pStyle w:val="Compact"/>
        <w:numPr>
          <w:ilvl w:val="0"/>
          <w:numId w:val="1010"/>
        </w:numPr>
      </w:pPr>
      <w:r>
        <w:t xml:space="preserve">预警线：RankIC 降至历史均值的 50% 以下</w:t>
      </w:r>
    </w:p>
    <w:p>
      <w:pPr>
        <w:pStyle w:val="Compact"/>
        <w:numPr>
          <w:ilvl w:val="0"/>
          <w:numId w:val="1010"/>
        </w:numPr>
      </w:pPr>
      <w:r>
        <w:t xml:space="preserve">再训练触发：连续3个月业绩衰减超过 20%</w:t>
      </w:r>
    </w:p>
    <w:p>
      <w:pPr>
        <w:pStyle w:val="Compact"/>
        <w:numPr>
          <w:ilvl w:val="0"/>
          <w:numId w:val="1010"/>
        </w:numPr>
      </w:pPr>
      <w:r>
        <w:t xml:space="preserve">模型更新 A/B 测试</w:t>
      </w:r>
    </w:p>
    <w:bookmarkEnd w:id="67"/>
    <w:bookmarkStart w:id="68" w:name="四市场风险"/>
    <w:p>
      <w:pPr>
        <w:pStyle w:val="Heading3"/>
      </w:pPr>
      <w:r>
        <w:t xml:space="preserve">（四）市场风险</w:t>
      </w:r>
    </w:p>
    <w:p>
      <w:pPr>
        <w:pStyle w:val="Compact"/>
        <w:numPr>
          <w:ilvl w:val="0"/>
          <w:numId w:val="1011"/>
        </w:numPr>
      </w:pPr>
      <w:r>
        <w:t xml:space="preserve">Beta中性选项（市场中性委托）</w:t>
      </w:r>
    </w:p>
    <w:p>
      <w:pPr>
        <w:pStyle w:val="Compact"/>
        <w:numPr>
          <w:ilvl w:val="0"/>
          <w:numId w:val="1011"/>
        </w:numPr>
      </w:pPr>
      <w:r>
        <w:t xml:space="preserve">波动率目标制（根据目标波动率调整仓位规模）</w:t>
      </w:r>
    </w:p>
    <w:p>
      <w:pPr>
        <w:pStyle w:val="Compact"/>
        <w:numPr>
          <w:ilvl w:val="0"/>
          <w:numId w:val="1011"/>
        </w:numPr>
      </w:pPr>
      <w:r>
        <w:t xml:space="preserve">状态检测（高波动率环境降低暴露）</w:t>
      </w:r>
    </w:p>
    <w:p>
      <w:pPr>
        <w:pStyle w:val="Compact"/>
        <w:numPr>
          <w:ilvl w:val="0"/>
          <w:numId w:val="1011"/>
        </w:numPr>
      </w:pPr>
      <w:r>
        <w:t xml:space="preserve">最大回撤限制：绝对 -18%，相对 -12%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十未来研究方向"/>
    <w:p>
      <w:pPr>
        <w:pStyle w:val="Heading2"/>
      </w:pPr>
      <w:r>
        <w:t xml:space="preserve">十、未来研究方向</w:t>
      </w:r>
    </w:p>
    <w:bookmarkStart w:id="70" w:name="另类数据融合"/>
    <w:p>
      <w:pPr>
        <w:pStyle w:val="Heading3"/>
      </w:pPr>
      <w:r>
        <w:t xml:space="preserve">1. 另类数据融合</w:t>
      </w:r>
    </w:p>
    <w:p>
      <w:pPr>
        <w:pStyle w:val="Compact"/>
        <w:numPr>
          <w:ilvl w:val="0"/>
          <w:numId w:val="1012"/>
        </w:numPr>
      </w:pPr>
      <w:r>
        <w:t xml:space="preserve">卫星遥感数据</w:t>
      </w:r>
    </w:p>
    <w:p>
      <w:pPr>
        <w:pStyle w:val="Compact"/>
        <w:numPr>
          <w:ilvl w:val="0"/>
          <w:numId w:val="1012"/>
        </w:numPr>
      </w:pPr>
      <w:r>
        <w:t xml:space="preserve">社交媒体情绪</w:t>
      </w:r>
    </w:p>
    <w:p>
      <w:pPr>
        <w:pStyle w:val="Compact"/>
        <w:numPr>
          <w:ilvl w:val="0"/>
          <w:numId w:val="1012"/>
        </w:numPr>
      </w:pPr>
      <w:r>
        <w:t xml:space="preserve">供应链数据</w:t>
      </w:r>
    </w:p>
    <w:p>
      <w:pPr>
        <w:pStyle w:val="Compact"/>
        <w:numPr>
          <w:ilvl w:val="0"/>
          <w:numId w:val="1012"/>
        </w:numPr>
      </w:pPr>
      <w:r>
        <w:t xml:space="preserve">ESG评分</w:t>
      </w:r>
    </w:p>
    <w:bookmarkEnd w:id="70"/>
    <w:bookmarkStart w:id="71" w:name="前沿ai技术"/>
    <w:p>
      <w:pPr>
        <w:pStyle w:val="Heading3"/>
      </w:pPr>
      <w:r>
        <w:t xml:space="preserve">2. 前沿AI技术</w:t>
      </w:r>
    </w:p>
    <w:p>
      <w:pPr>
        <w:pStyle w:val="Compact"/>
        <w:numPr>
          <w:ilvl w:val="0"/>
          <w:numId w:val="1013"/>
        </w:numPr>
      </w:pPr>
      <w:r>
        <w:t xml:space="preserve">强化学习（动态配置优化）</w:t>
      </w:r>
    </w:p>
    <w:p>
      <w:pPr>
        <w:pStyle w:val="Compact"/>
        <w:numPr>
          <w:ilvl w:val="0"/>
          <w:numId w:val="1013"/>
        </w:numPr>
      </w:pPr>
      <w:r>
        <w:t xml:space="preserve">生成式AI（合成因子创造）</w:t>
      </w:r>
    </w:p>
    <w:p>
      <w:pPr>
        <w:pStyle w:val="Compact"/>
        <w:numPr>
          <w:ilvl w:val="0"/>
          <w:numId w:val="1013"/>
        </w:numPr>
      </w:pPr>
      <w:r>
        <w:t xml:space="preserve">图神经网络（关系建模）</w:t>
      </w:r>
    </w:p>
    <w:p>
      <w:pPr>
        <w:pStyle w:val="Compact"/>
        <w:numPr>
          <w:ilvl w:val="0"/>
          <w:numId w:val="1013"/>
        </w:numPr>
      </w:pPr>
      <w:r>
        <w:t xml:space="preserve">因果推断（因子有效性验证）</w:t>
      </w:r>
    </w:p>
    <w:bookmarkEnd w:id="71"/>
    <w:bookmarkStart w:id="72" w:name="市场微观结构深化"/>
    <w:p>
      <w:pPr>
        <w:pStyle w:val="Heading3"/>
      </w:pPr>
      <w:r>
        <w:t xml:space="preserve">3. 市场微观结构深化</w:t>
      </w:r>
    </w:p>
    <w:p>
      <w:pPr>
        <w:pStyle w:val="Compact"/>
        <w:numPr>
          <w:ilvl w:val="0"/>
          <w:numId w:val="1014"/>
        </w:numPr>
      </w:pPr>
      <w:r>
        <w:t xml:space="preserve">高频交易者识别</w:t>
      </w:r>
    </w:p>
    <w:p>
      <w:pPr>
        <w:pStyle w:val="Compact"/>
        <w:numPr>
          <w:ilvl w:val="0"/>
          <w:numId w:val="1014"/>
        </w:numPr>
      </w:pPr>
      <w:r>
        <w:t xml:space="preserve">流动性提供者辨识</w:t>
      </w:r>
    </w:p>
    <w:p>
      <w:pPr>
        <w:pStyle w:val="Compact"/>
        <w:numPr>
          <w:ilvl w:val="0"/>
          <w:numId w:val="1014"/>
        </w:numPr>
      </w:pPr>
      <w:r>
        <w:t xml:space="preserve">订单流毒性度量</w:t>
      </w:r>
    </w:p>
    <w:p>
      <w:pPr>
        <w:pStyle w:val="Compact"/>
        <w:numPr>
          <w:ilvl w:val="0"/>
          <w:numId w:val="1014"/>
        </w:numPr>
      </w:pPr>
      <w:r>
        <w:t xml:space="preserve">最优执行算法整合</w:t>
      </w:r>
    </w:p>
    <w:bookmarkEnd w:id="72"/>
    <w:bookmarkStart w:id="73" w:name="跨资产因子"/>
    <w:p>
      <w:pPr>
        <w:pStyle w:val="Heading3"/>
      </w:pPr>
      <w:r>
        <w:t xml:space="preserve">4. 跨资产因子</w:t>
      </w:r>
    </w:p>
    <w:p>
      <w:pPr>
        <w:pStyle w:val="Compact"/>
        <w:numPr>
          <w:ilvl w:val="0"/>
          <w:numId w:val="1015"/>
        </w:numPr>
      </w:pPr>
      <w:r>
        <w:t xml:space="preserve">债券-权益溢出效应</w:t>
      </w:r>
    </w:p>
    <w:p>
      <w:pPr>
        <w:pStyle w:val="Compact"/>
        <w:numPr>
          <w:ilvl w:val="0"/>
          <w:numId w:val="1015"/>
        </w:numPr>
      </w:pPr>
      <w:r>
        <w:t xml:space="preserve">大宗商品指标</w:t>
      </w:r>
    </w:p>
    <w:p>
      <w:pPr>
        <w:pStyle w:val="Compact"/>
        <w:numPr>
          <w:ilvl w:val="0"/>
          <w:numId w:val="1015"/>
        </w:numPr>
      </w:pPr>
      <w:r>
        <w:t xml:space="preserve">汇率情绪</w:t>
      </w:r>
    </w:p>
    <w:p>
      <w:pPr>
        <w:pStyle w:val="Compact"/>
        <w:numPr>
          <w:ilvl w:val="0"/>
          <w:numId w:val="1015"/>
        </w:numPr>
      </w:pPr>
      <w:r>
        <w:t xml:space="preserve">跨市场相关性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十一结论"/>
    <w:p>
      <w:pPr>
        <w:pStyle w:val="Heading2"/>
      </w:pPr>
      <w:r>
        <w:t xml:space="preserve">十一、结论</w:t>
      </w:r>
    </w:p>
    <w:p>
      <w:pPr>
        <w:pStyle w:val="FirstParagraph"/>
      </w:pPr>
      <w:r>
        <w:t xml:space="preserve">本因子库构建了中国A股量化投资的系统性工具集：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150+ 基本面因子</w:t>
      </w:r>
      <w:r>
        <w:t xml:space="preserve">：经 Intellidex 方法论验证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300+ 高频量价因子</w:t>
      </w:r>
      <w:r>
        <w:t xml:space="preserve">：通过 GPT 等先进 AI 技术生成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8年+ 回测验证</w:t>
      </w:r>
      <w:r>
        <w:t xml:space="preserve">：2017-2025 年实证数据支撑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四套策略框架</w:t>
      </w:r>
      <w:r>
        <w:t xml:space="preserve">：适配不同类型投资者与约束条件</w:t>
      </w:r>
    </w:p>
    <w:bookmarkStart w:id="75" w:name="核心结论"/>
    <w:p>
      <w:pPr>
        <w:pStyle w:val="Heading3"/>
      </w:pPr>
      <w:r>
        <w:t xml:space="preserve">核心结论：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高频因子</w:t>
      </w:r>
      <w:r>
        <w:t xml:space="preserve">（尤其等量K线特征）预测能力卓越（RankIC 11-12%），但面临容量瓶颈与高交易成本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基本面因子</w:t>
      </w:r>
      <w:r>
        <w:t xml:space="preserve">提供更强可扩展性与更低换手率，稳健超额收益 8-12%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混合策略</w:t>
      </w:r>
      <w:r>
        <w:t xml:space="preserve">将两类因子结合，实现最优风险调整收益（夏普 1.6-2.0），容量合理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Transformer 模型</w:t>
      </w:r>
      <w:r>
        <w:t xml:space="preserve">（iTransformer、Crossformer）显著优于传统机器学习方法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因子择时与多策略配置</w:t>
      </w:r>
      <w:r>
        <w:t xml:space="preserve">可将夏普比率提升 15-25%</w:t>
      </w:r>
    </w:p>
    <w:p>
      <w:pPr>
        <w:pStyle w:val="FirstParagraph"/>
      </w:pPr>
      <w:r>
        <w:rPr>
          <w:b/>
          <w:bCs/>
        </w:rPr>
        <w:t xml:space="preserve">推荐方案</w:t>
      </w:r>
      <w:r>
        <w:t xml:space="preserve">：对大多数机构投资者，建议采用</w:t>
      </w:r>
      <w:r>
        <w:t xml:space="preserve"> </w:t>
      </w:r>
      <w:r>
        <w:rPr>
          <w:b/>
          <w:bCs/>
        </w:rPr>
        <w:t xml:space="preserve">策略三（混合多策略）</w:t>
      </w:r>
      <w:r>
        <w:t xml:space="preserve">，在收益、容量与风控之间取得最佳平衡。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报告编制</w:t>
      </w:r>
      <w:r>
        <w:t xml:space="preserve">：2025年2月</w:t>
      </w:r>
      <w:r>
        <w:t xml:space="preserve"> </w:t>
      </w:r>
      <w:r>
        <w:rPr>
          <w:b/>
          <w:bCs/>
        </w:rPr>
        <w:t xml:space="preserve">数据来源</w:t>
      </w:r>
      <w:r>
        <w:t xml:space="preserve">：华泰证券金工深度研究（2025年3月）</w:t>
      </w:r>
      <w:r>
        <w:t xml:space="preserve"> </w:t>
      </w:r>
      <w:r>
        <w:rPr>
          <w:b/>
          <w:bCs/>
        </w:rPr>
        <w:t xml:space="preserve">覆盖市场</w:t>
      </w:r>
      <w:r>
        <w:t xml:space="preserve">：中国A股（沪深300、中证500、中证1000）</w:t>
      </w:r>
      <w:r>
        <w:t xml:space="preserve"> </w:t>
      </w:r>
      <w:r>
        <w:rPr>
          <w:b/>
          <w:bCs/>
        </w:rPr>
        <w:t xml:space="preserve">回测区间</w:t>
      </w:r>
      <w:r>
        <w:t xml:space="preserve">：2017-2025年</w:t>
      </w:r>
      <w:r>
        <w:t xml:space="preserve"> </w:t>
      </w:r>
      <w:r>
        <w:rPr>
          <w:b/>
          <w:bCs/>
        </w:rPr>
        <w:t xml:space="preserve">因子总数</w:t>
      </w:r>
      <w:r>
        <w:t xml:space="preserve">：450+ （涵盖基本面与高频量价）</w:t>
      </w:r>
    </w:p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2026-02-13T07:00:23Z</dcterms:created>
  <dcterms:modified xsi:type="dcterms:W3CDTF">2026-02-13T07:00:23Z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