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personal banking tracking questionnaire</w:t>
      </w:r>
    </w:p>
    <w:p>
      <w:r>
        <w:t>Synthetic demonstration | Three independent waves | Instrument version 1 | 28 October 2026</w:t>
      </w:r>
    </w:p>
    <w:p>
      <w:r>
        <w:t>Measurement extension 30 October 2026 | Original instrument retained</w:t>
      </w:r>
    </w:p>
    <w:p>
      <w:r>
        <w:t>This instrument supports a competitive brand tracker with FNB as the focal brand. It is a fictional demonstration, not a company-issued survey or collected market evidence. The design covers the chart families in the supplied Timelaps examples without claiming its proprietary methods.</w:t>
      </w:r>
    </w:p>
    <w:p>
      <w:pPr>
        <w:pStyle w:val="Heading1"/>
      </w:pPr>
      <w:r>
        <w:t>Scope and respondent selection</w:t>
      </w:r>
    </w:p>
    <w:p>
      <w:r>
        <w:t>Adults aged 18–69 who currently hold a personal bank account or expect to open one in the next 12 months. Exclude business-only accounts. Include multi-banked customers and intended first-time entrants.</w:t>
      </w:r>
    </w:p>
    <w:p>
      <w:r>
        <w:t>Core: 1,000 independent respondents per wave, with illustrative fieldwork in February, June and October 2026. Keep raw codes, wording, target population and measurement methods stable. No panel overlap and no targeted booster are supplied. The provisional buying cues and questionnaire require elicitation, translation review and a timed pilot before real use.</w:t>
      </w:r>
    </w:p>
    <w:p>
      <w:pPr>
        <w:pStyle w:val="Heading2"/>
      </w:pPr>
      <w:r>
        <w:t>S1 How old are you?</w:t>
      </w:r>
    </w:p>
    <w:p>
      <w:r>
        <w:t>Response: Numeric. Ask: all.</w:t>
      </w:r>
    </w:p>
    <w:p>
      <w:r>
        <w:t>Codes and programming: 18–69 eligible. Record age, derive 18–24 / 25–34 / 35–49 / 50–69. Otherwise end.</w:t>
      </w:r>
    </w:p>
    <w:p>
      <w:pPr>
        <w:pStyle w:val="Heading2"/>
      </w:pPr>
      <w:r>
        <w:t>S2 Do you have sole or shared responsibility for choosing your personal banking?</w:t>
      </w:r>
    </w:p>
    <w:p>
      <w:r>
        <w:t>Response: Single response. Ask: all.</w:t>
      </w:r>
    </w:p>
    <w:p>
      <w:r>
        <w:t>Codes and programming: 1 Sole; 2 Shared; 3 Neither. End if 3.</w:t>
      </w:r>
    </w:p>
    <w:p>
      <w:pPr>
        <w:pStyle w:val="Heading2"/>
      </w:pPr>
      <w:r>
        <w:t>S3 When did you most recently open a personal account?</w:t>
      </w:r>
    </w:p>
    <w:p>
      <w:r>
        <w:t>Response: Single response. Ask: S2=1 or 2.</w:t>
      </w:r>
    </w:p>
    <w:p>
      <w:r>
        <w:t>Codes and programming: 1 Past 12 months; 2 13–36 months; 3 37–60 months; 4 More than 60 months; 5 Never.</w:t>
      </w:r>
    </w:p>
    <w:p>
      <w:pPr>
        <w:pStyle w:val="Heading2"/>
      </w:pPr>
      <w:r>
        <w:t>S4 When do you expect next to open or switch a personal bank account?</w:t>
      </w:r>
    </w:p>
    <w:p>
      <w:r>
        <w:t>Response: Single response. Ask: all.</w:t>
      </w:r>
    </w:p>
    <w:p>
      <w:r>
        <w:t>Codes and programming: 1 Within 12 months; 2 In 13–36 months; 3 Later; 4 No plans or do not know.</w:t>
      </w:r>
    </w:p>
    <w:p>
      <w:pPr>
        <w:pStyle w:val="Heading2"/>
      </w:pPr>
      <w:r>
        <w:t>S5 Do you currently use or hold any eligible bank account?</w:t>
      </w:r>
    </w:p>
    <w:p>
      <w:r>
        <w:t>Response: Single response. Ask: all.</w:t>
      </w:r>
    </w:p>
    <w:p>
      <w:r>
        <w:t>Codes and programming: 1 Yes; 0 No. Eligible if S5=1 OR S4=1. O1 later must agree. None means no current in-scope product, not no awareness.</w:t>
      </w:r>
    </w:p>
    <w:p>
      <w:r>
        <w:t>FNB and RMB are not separate consumer brands in this fixture. GoTyme Bank and TymeBank use one stable entity code; the combined alias is held constant across synthetic waves. A real rebrand requires separate name-awareness measures and a comparability bridge.</w:t>
      </w:r>
    </w:p>
    <w:p>
      <w:r>
        <w:br w:type="page"/>
      </w:r>
    </w:p>
    <w:p>
      <w:pPr>
        <w:pStyle w:val="Heading1"/>
      </w:pPr>
      <w:r>
        <w:t>Spontaneous awareness and buying situations</w:t>
      </w:r>
    </w:p>
    <w:p>
      <w:r>
        <w:t>Before these tasks, show no tracked brand names, logos or named client sponsorship. A1 and A2 come first. M1 follows before A3. Disable back navigation after prompting. Do not show example brand answers. Preserve raw text and coding separately.</w:t>
      </w:r>
    </w:p>
    <w:p>
      <w:pPr>
        <w:pStyle w:val="Heading2"/>
      </w:pPr>
      <w:r>
        <w:t>A1 Thinking about personal banking, which bank comes to mind first?</w:t>
      </w:r>
    </w:p>
    <w:p>
      <w:r>
        <w:t>Response: Open text. Ask: all eligible.</w:t>
      </w:r>
    </w:p>
    <w:p>
      <w:r>
        <w:t>Codes and programming: topmind: brand code 1–10, 96 Other, 98 None. Record first brand exactly.</w:t>
      </w:r>
    </w:p>
    <w:p>
      <w:pPr>
        <w:pStyle w:val="Heading2"/>
      </w:pPr>
      <w:r>
        <w:t>A2 Which other banks come to mind?</w:t>
      </w:r>
    </w:p>
    <w:p>
      <w:r>
        <w:t>Response: Open text multiple mentions. Ask: all eligible.</w:t>
      </w:r>
    </w:p>
    <w:p>
      <w:r>
        <w:t>Codes and programming: awareness_verbatim retains A1 and A2 mentions. unaided_bXX=1 for every tracked brand named, including top of mind. 0 is not recalled. None exclusive, no forced minimum.</w:t>
      </w:r>
    </w:p>
    <w:p>
      <w:pPr>
        <w:pStyle w:val="Heading2"/>
      </w:pPr>
      <w:r>
        <w:t>M1 Thinking about [SITUATION], which banks, if any, come to mind?</w:t>
      </w:r>
    </w:p>
    <w:p>
      <w:r>
        <w:t>Response: Open text multiple mentions. Ask: all eligible for all 12 situations.</w:t>
      </w:r>
    </w:p>
    <w:p>
      <w:r>
        <w:t>Codes and programming: Randomise situations, store cep_order. Record cep_verbatim_cXX and code cep_cXX_bYY=1/0. No brand list. Other flags retained. All situations are asked whether personally relevant or not. A skipped task is not a zero.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Situation</w:t>
            </w:r>
          </w:p>
        </w:tc>
      </w:tr>
      <w:tr>
        <w:tc>
          <w:tcPr>
            <w:tcW w:type="dxa" w:w="5040"/>
          </w:tcPr>
          <w:p>
            <w:pPr>
              <w:spacing w:after="60"/>
            </w:pPr>
            <w:r>
              <w:rPr>
                <w:sz w:val="18"/>
              </w:rPr>
              <w:t>c01</w:t>
            </w:r>
          </w:p>
        </w:tc>
        <w:tc>
          <w:tcPr>
            <w:tcW w:type="dxa" w:w="5040"/>
          </w:tcPr>
          <w:p>
            <w:pPr>
              <w:spacing w:after="60"/>
            </w:pPr>
            <w:r>
              <w:rPr>
                <w:sz w:val="18"/>
              </w:rPr>
              <w:t>Receiving a salary or regular income</w:t>
            </w:r>
          </w:p>
        </w:tc>
      </w:tr>
      <w:tr>
        <w:tc>
          <w:tcPr>
            <w:tcW w:type="dxa" w:w="5040"/>
          </w:tcPr>
          <w:p>
            <w:pPr>
              <w:spacing w:after="60"/>
            </w:pPr>
            <w:r>
              <w:rPr>
                <w:sz w:val="18"/>
              </w:rPr>
              <w:t>c02</w:t>
            </w:r>
          </w:p>
        </w:tc>
        <w:tc>
          <w:tcPr>
            <w:tcW w:type="dxa" w:w="5040"/>
          </w:tcPr>
          <w:p>
            <w:pPr>
              <w:spacing w:after="60"/>
            </w:pPr>
            <w:r>
              <w:rPr>
                <w:sz w:val="18"/>
              </w:rPr>
              <w:t>Reducing monthly banking fees</w:t>
            </w:r>
          </w:p>
        </w:tc>
      </w:tr>
      <w:tr>
        <w:tc>
          <w:tcPr>
            <w:tcW w:type="dxa" w:w="5040"/>
          </w:tcPr>
          <w:p>
            <w:pPr>
              <w:spacing w:after="60"/>
            </w:pPr>
            <w:r>
              <w:rPr>
                <w:sz w:val="18"/>
              </w:rPr>
              <w:t>c03</w:t>
            </w:r>
          </w:p>
        </w:tc>
        <w:tc>
          <w:tcPr>
            <w:tcW w:type="dxa" w:w="5040"/>
          </w:tcPr>
          <w:p>
            <w:pPr>
              <w:spacing w:after="60"/>
            </w:pPr>
            <w:r>
              <w:rPr>
                <w:sz w:val="18"/>
              </w:rPr>
              <w:t>Paying bills and everyday expenses</w:t>
            </w:r>
          </w:p>
        </w:tc>
      </w:tr>
      <w:tr>
        <w:tc>
          <w:tcPr>
            <w:tcW w:type="dxa" w:w="5040"/>
          </w:tcPr>
          <w:p>
            <w:pPr>
              <w:spacing w:after="60"/>
            </w:pPr>
            <w:r>
              <w:rPr>
                <w:sz w:val="18"/>
              </w:rPr>
              <w:t>c04</w:t>
            </w:r>
          </w:p>
        </w:tc>
        <w:tc>
          <w:tcPr>
            <w:tcW w:type="dxa" w:w="5040"/>
          </w:tcPr>
          <w:p>
            <w:pPr>
              <w:spacing w:after="60"/>
            </w:pPr>
            <w:r>
              <w:rPr>
                <w:sz w:val="18"/>
              </w:rPr>
              <w:t>Sending money to family</w:t>
            </w:r>
          </w:p>
        </w:tc>
      </w:tr>
      <w:tr>
        <w:tc>
          <w:tcPr>
            <w:tcW w:type="dxa" w:w="5040"/>
          </w:tcPr>
          <w:p>
            <w:pPr>
              <w:spacing w:after="60"/>
            </w:pPr>
            <w:r>
              <w:rPr>
                <w:sz w:val="18"/>
              </w:rPr>
              <w:t>c05</w:t>
            </w:r>
          </w:p>
        </w:tc>
        <w:tc>
          <w:tcPr>
            <w:tcW w:type="dxa" w:w="5040"/>
          </w:tcPr>
          <w:p>
            <w:pPr>
              <w:spacing w:after="60"/>
            </w:pPr>
            <w:r>
              <w:rPr>
                <w:sz w:val="18"/>
              </w:rPr>
              <w:t>Saving for an emergency</w:t>
            </w:r>
          </w:p>
        </w:tc>
      </w:tr>
      <w:tr>
        <w:tc>
          <w:tcPr>
            <w:tcW w:type="dxa" w:w="5040"/>
          </w:tcPr>
          <w:p>
            <w:pPr>
              <w:spacing w:after="60"/>
            </w:pPr>
            <w:r>
              <w:rPr>
                <w:sz w:val="18"/>
              </w:rPr>
              <w:t>c06</w:t>
            </w:r>
          </w:p>
        </w:tc>
        <w:tc>
          <w:tcPr>
            <w:tcW w:type="dxa" w:w="5040"/>
          </w:tcPr>
          <w:p>
            <w:pPr>
              <w:spacing w:after="60"/>
            </w:pPr>
            <w:r>
              <w:rPr>
                <w:sz w:val="18"/>
              </w:rPr>
              <w:t>Saving towards a specific goal</w:t>
            </w:r>
          </w:p>
        </w:tc>
      </w:tr>
      <w:tr>
        <w:tc>
          <w:tcPr>
            <w:tcW w:type="dxa" w:w="5040"/>
          </w:tcPr>
          <w:p>
            <w:pPr>
              <w:spacing w:after="60"/>
            </w:pPr>
            <w:r>
              <w:rPr>
                <w:sz w:val="18"/>
              </w:rPr>
              <w:t>c07</w:t>
            </w:r>
          </w:p>
        </w:tc>
        <w:tc>
          <w:tcPr>
            <w:tcW w:type="dxa" w:w="5040"/>
          </w:tcPr>
          <w:p>
            <w:pPr>
              <w:spacing w:after="60"/>
            </w:pPr>
            <w:r>
              <w:rPr>
                <w:sz w:val="18"/>
              </w:rPr>
              <w:t>Needing help when something goes wrong</w:t>
            </w:r>
          </w:p>
        </w:tc>
      </w:tr>
      <w:tr>
        <w:tc>
          <w:tcPr>
            <w:tcW w:type="dxa" w:w="5040"/>
          </w:tcPr>
          <w:p>
            <w:pPr>
              <w:spacing w:after="60"/>
            </w:pPr>
            <w:r>
              <w:rPr>
                <w:sz w:val="18"/>
              </w:rPr>
              <w:t>c08</w:t>
            </w:r>
          </w:p>
        </w:tc>
        <w:tc>
          <w:tcPr>
            <w:tcW w:type="dxa" w:w="5040"/>
          </w:tcPr>
          <w:p>
            <w:pPr>
              <w:spacing w:after="60"/>
            </w:pPr>
            <w:r>
              <w:rPr>
                <w:sz w:val="18"/>
              </w:rPr>
              <w:t>Managing money easily on a phone</w:t>
            </w:r>
          </w:p>
        </w:tc>
      </w:tr>
      <w:tr>
        <w:tc>
          <w:tcPr>
            <w:tcW w:type="dxa" w:w="5040"/>
          </w:tcPr>
          <w:p>
            <w:pPr>
              <w:spacing w:after="60"/>
            </w:pPr>
            <w:r>
              <w:rPr>
                <w:sz w:val="18"/>
              </w:rPr>
              <w:t>c09</w:t>
            </w:r>
          </w:p>
        </w:tc>
        <w:tc>
          <w:tcPr>
            <w:tcW w:type="dxa" w:w="5040"/>
          </w:tcPr>
          <w:p>
            <w:pPr>
              <w:spacing w:after="60"/>
            </w:pPr>
            <w:r>
              <w:rPr>
                <w:sz w:val="18"/>
              </w:rPr>
              <w:t>Opening a first bank account</w:t>
            </w:r>
          </w:p>
        </w:tc>
      </w:tr>
      <w:tr>
        <w:tc>
          <w:tcPr>
            <w:tcW w:type="dxa" w:w="5040"/>
          </w:tcPr>
          <w:p>
            <w:pPr>
              <w:spacing w:after="60"/>
            </w:pPr>
            <w:r>
              <w:rPr>
                <w:sz w:val="18"/>
              </w:rPr>
              <w:t>c10</w:t>
            </w:r>
          </w:p>
        </w:tc>
        <w:tc>
          <w:tcPr>
            <w:tcW w:type="dxa" w:w="5040"/>
          </w:tcPr>
          <w:p>
            <w:pPr>
              <w:spacing w:after="60"/>
            </w:pPr>
            <w:r>
              <w:rPr>
                <w:sz w:val="18"/>
              </w:rPr>
              <w:t>Keeping money and personal information safe</w:t>
            </w:r>
          </w:p>
        </w:tc>
      </w:tr>
      <w:tr>
        <w:tc>
          <w:tcPr>
            <w:tcW w:type="dxa" w:w="5040"/>
          </w:tcPr>
          <w:p>
            <w:pPr>
              <w:spacing w:after="60"/>
            </w:pPr>
            <w:r>
              <w:rPr>
                <w:sz w:val="18"/>
              </w:rPr>
              <w:t>c11</w:t>
            </w:r>
          </w:p>
        </w:tc>
        <w:tc>
          <w:tcPr>
            <w:tcW w:type="dxa" w:w="5040"/>
          </w:tcPr>
          <w:p>
            <w:pPr>
              <w:spacing w:after="60"/>
            </w:pPr>
            <w:r>
              <w:rPr>
                <w:sz w:val="18"/>
              </w:rPr>
              <w:t>Accessing cash near home or work</w:t>
            </w:r>
          </w:p>
        </w:tc>
      </w:tr>
      <w:tr>
        <w:tc>
          <w:tcPr>
            <w:tcW w:type="dxa" w:w="5040"/>
          </w:tcPr>
          <w:p>
            <w:pPr>
              <w:spacing w:after="60"/>
            </w:pPr>
            <w:r>
              <w:rPr>
                <w:sz w:val="18"/>
              </w:rPr>
              <w:t>c12</w:t>
            </w:r>
          </w:p>
        </w:tc>
        <w:tc>
          <w:tcPr>
            <w:tcW w:type="dxa" w:w="5040"/>
          </w:tcPr>
          <w:p>
            <w:pPr>
              <w:spacing w:after="60"/>
            </w:pPr>
            <w:r>
              <w:rPr>
                <w:sz w:val="18"/>
              </w:rPr>
              <w:t>Travelling or paying internationally</w:t>
            </w:r>
          </w:p>
        </w:tc>
      </w:tr>
    </w:tbl>
    <w:p>
      <w:r>
        <w:t>This memory task is distinct from general recall and from prompted image. The cue list is provisional, not a validated sector-specific CEP scale (Ehrenberg-Bass Institute for Marketing Science, n.d.).</w:t>
      </w:r>
    </w:p>
    <w:p>
      <w:r>
        <w:br w:type="page"/>
      </w:r>
    </w:p>
    <w:p>
      <w:pPr>
        <w:pStyle w:val="Heading1"/>
      </w:pPr>
      <w:r>
        <w:t>Recognition and choice intentions</w:t>
      </w:r>
    </w:p>
    <w:p>
      <w:r>
        <w:t>Introduce the brand list only now. Randomise once per respondent and store brand_order. Keep Other / None / Do not know last. Do not highlight FNB. Stable codes identify brands, not display order.</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Brand</w:t>
            </w:r>
          </w:p>
        </w:tc>
      </w:tr>
      <w:tr>
        <w:tc>
          <w:tcPr>
            <w:tcW w:type="dxa" w:w="5040"/>
          </w:tcPr>
          <w:p>
            <w:pPr>
              <w:spacing w:after="60"/>
            </w:pPr>
            <w:r>
              <w:rPr>
                <w:sz w:val="18"/>
              </w:rPr>
              <w:t>1</w:t>
            </w:r>
          </w:p>
        </w:tc>
        <w:tc>
          <w:tcPr>
            <w:tcW w:type="dxa" w:w="5040"/>
          </w:tcPr>
          <w:p>
            <w:pPr>
              <w:spacing w:after="60"/>
            </w:pPr>
            <w:r>
              <w:rPr>
                <w:sz w:val="18"/>
              </w:rPr>
              <w:t>Capitec</w:t>
            </w:r>
          </w:p>
        </w:tc>
      </w:tr>
      <w:tr>
        <w:tc>
          <w:tcPr>
            <w:tcW w:type="dxa" w:w="5040"/>
          </w:tcPr>
          <w:p>
            <w:pPr>
              <w:spacing w:after="60"/>
            </w:pPr>
            <w:r>
              <w:rPr>
                <w:sz w:val="18"/>
              </w:rPr>
              <w:t>2</w:t>
            </w:r>
          </w:p>
        </w:tc>
        <w:tc>
          <w:tcPr>
            <w:tcW w:type="dxa" w:w="5040"/>
          </w:tcPr>
          <w:p>
            <w:pPr>
              <w:spacing w:after="60"/>
            </w:pPr>
            <w:r>
              <w:rPr>
                <w:sz w:val="18"/>
              </w:rPr>
              <w:t>Standard Bank</w:t>
            </w:r>
          </w:p>
        </w:tc>
      </w:tr>
      <w:tr>
        <w:tc>
          <w:tcPr>
            <w:tcW w:type="dxa" w:w="5040"/>
          </w:tcPr>
          <w:p>
            <w:pPr>
              <w:spacing w:after="60"/>
            </w:pPr>
            <w:r>
              <w:rPr>
                <w:sz w:val="18"/>
              </w:rPr>
              <w:t>3</w:t>
            </w:r>
          </w:p>
        </w:tc>
        <w:tc>
          <w:tcPr>
            <w:tcW w:type="dxa" w:w="5040"/>
          </w:tcPr>
          <w:p>
            <w:pPr>
              <w:spacing w:after="60"/>
            </w:pPr>
            <w:r>
              <w:rPr>
                <w:sz w:val="18"/>
              </w:rPr>
              <w:t>Absa</w:t>
            </w:r>
          </w:p>
        </w:tc>
      </w:tr>
      <w:tr>
        <w:tc>
          <w:tcPr>
            <w:tcW w:type="dxa" w:w="5040"/>
          </w:tcPr>
          <w:p>
            <w:pPr>
              <w:spacing w:after="60"/>
            </w:pPr>
            <w:r>
              <w:rPr>
                <w:sz w:val="18"/>
              </w:rPr>
              <w:t>4</w:t>
            </w:r>
          </w:p>
        </w:tc>
        <w:tc>
          <w:tcPr>
            <w:tcW w:type="dxa" w:w="5040"/>
          </w:tcPr>
          <w:p>
            <w:pPr>
              <w:spacing w:after="60"/>
            </w:pPr>
            <w:r>
              <w:rPr>
                <w:sz w:val="18"/>
              </w:rPr>
              <w:t>Nedbank</w:t>
            </w:r>
          </w:p>
        </w:tc>
      </w:tr>
      <w:tr>
        <w:tc>
          <w:tcPr>
            <w:tcW w:type="dxa" w:w="5040"/>
          </w:tcPr>
          <w:p>
            <w:pPr>
              <w:spacing w:after="60"/>
            </w:pPr>
            <w:r>
              <w:rPr>
                <w:sz w:val="18"/>
              </w:rPr>
              <w:t>5</w:t>
            </w:r>
          </w:p>
        </w:tc>
        <w:tc>
          <w:tcPr>
            <w:tcW w:type="dxa" w:w="5040"/>
          </w:tcPr>
          <w:p>
            <w:pPr>
              <w:spacing w:after="60"/>
            </w:pPr>
            <w:r>
              <w:rPr>
                <w:sz w:val="18"/>
              </w:rPr>
              <w:t>African Bank</w:t>
            </w:r>
          </w:p>
        </w:tc>
      </w:tr>
      <w:tr>
        <w:tc>
          <w:tcPr>
            <w:tcW w:type="dxa" w:w="5040"/>
          </w:tcPr>
          <w:p>
            <w:pPr>
              <w:spacing w:after="60"/>
            </w:pPr>
            <w:r>
              <w:rPr>
                <w:sz w:val="18"/>
              </w:rPr>
              <w:t>6</w:t>
            </w:r>
          </w:p>
        </w:tc>
        <w:tc>
          <w:tcPr>
            <w:tcW w:type="dxa" w:w="5040"/>
          </w:tcPr>
          <w:p>
            <w:pPr>
              <w:spacing w:after="60"/>
            </w:pPr>
            <w:r>
              <w:rPr>
                <w:sz w:val="18"/>
              </w:rPr>
              <w:t>GoTyme Bank (formerly TymeBank)</w:t>
            </w:r>
          </w:p>
        </w:tc>
      </w:tr>
      <w:tr>
        <w:tc>
          <w:tcPr>
            <w:tcW w:type="dxa" w:w="5040"/>
          </w:tcPr>
          <w:p>
            <w:pPr>
              <w:spacing w:after="60"/>
            </w:pPr>
            <w:r>
              <w:rPr>
                <w:sz w:val="18"/>
              </w:rPr>
              <w:t>7</w:t>
            </w:r>
          </w:p>
        </w:tc>
        <w:tc>
          <w:tcPr>
            <w:tcW w:type="dxa" w:w="5040"/>
          </w:tcPr>
          <w:p>
            <w:pPr>
              <w:spacing w:after="60"/>
            </w:pPr>
            <w:r>
              <w:rPr>
                <w:sz w:val="18"/>
              </w:rPr>
              <w:t>Bank Zero</w:t>
            </w:r>
          </w:p>
        </w:tc>
      </w:tr>
      <w:tr>
        <w:tc>
          <w:tcPr>
            <w:tcW w:type="dxa" w:w="5040"/>
          </w:tcPr>
          <w:p>
            <w:pPr>
              <w:spacing w:after="60"/>
            </w:pPr>
            <w:r>
              <w:rPr>
                <w:sz w:val="18"/>
              </w:rPr>
              <w:t>8</w:t>
            </w:r>
          </w:p>
        </w:tc>
        <w:tc>
          <w:tcPr>
            <w:tcW w:type="dxa" w:w="5040"/>
          </w:tcPr>
          <w:p>
            <w:pPr>
              <w:spacing w:after="60"/>
            </w:pPr>
            <w:r>
              <w:rPr>
                <w:sz w:val="18"/>
              </w:rPr>
              <w:t>FNB</w:t>
            </w:r>
          </w:p>
        </w:tc>
      </w:tr>
      <w:tr>
        <w:tc>
          <w:tcPr>
            <w:tcW w:type="dxa" w:w="5040"/>
          </w:tcPr>
          <w:p>
            <w:pPr>
              <w:spacing w:after="60"/>
            </w:pPr>
            <w:r>
              <w:rPr>
                <w:sz w:val="18"/>
              </w:rPr>
              <w:t>9</w:t>
            </w:r>
          </w:p>
        </w:tc>
        <w:tc>
          <w:tcPr>
            <w:tcW w:type="dxa" w:w="5040"/>
          </w:tcPr>
          <w:p>
            <w:pPr>
              <w:spacing w:after="60"/>
            </w:pPr>
            <w:r>
              <w:rPr>
                <w:sz w:val="18"/>
              </w:rPr>
              <w:t>Discovery Bank</w:t>
            </w:r>
          </w:p>
        </w:tc>
      </w:tr>
      <w:tr>
        <w:tc>
          <w:tcPr>
            <w:tcW w:type="dxa" w:w="5040"/>
          </w:tcPr>
          <w:p>
            <w:pPr>
              <w:spacing w:after="60"/>
            </w:pPr>
            <w:r>
              <w:rPr>
                <w:sz w:val="18"/>
              </w:rPr>
              <w:t>10</w:t>
            </w:r>
          </w:p>
        </w:tc>
        <w:tc>
          <w:tcPr>
            <w:tcW w:type="dxa" w:w="5040"/>
          </w:tcPr>
          <w:p>
            <w:pPr>
              <w:spacing w:after="60"/>
            </w:pPr>
            <w:r>
              <w:rPr>
                <w:sz w:val="18"/>
              </w:rPr>
              <w:t>Investec</w:t>
            </w:r>
          </w:p>
        </w:tc>
      </w:tr>
    </w:tbl>
    <w:p>
      <w:pPr>
        <w:pStyle w:val="Heading2"/>
      </w:pPr>
      <w:r>
        <w:t>A3 Before today, which of these banks had you heard of?</w:t>
      </w:r>
    </w:p>
    <w:p>
      <w:r>
        <w:t>Response: Multiple response list. Ask: all eligible.</w:t>
      </w:r>
    </w:p>
    <w:p>
      <w:r>
        <w:t>Codes and programming: aware_bXX 0/1. Neutrally resolve a conflict if a respondent already named a brand in A1/A2 or M1. Retain the original verbatim. aware_none is exclusive. Do not confuse unfamiliarity with having no opinion.</w:t>
      </w:r>
    </w:p>
    <w:p>
      <w:pPr>
        <w:pStyle w:val="Heading2"/>
      </w:pPr>
      <w:r>
        <w:t>F1 If you were next to open or switch a personal bank account, which of these brands would you consider?</w:t>
      </w:r>
    </w:p>
    <w:p>
      <w:r>
        <w:t>Response: Multiple response. Ask: show recognised brands.</w:t>
      </w:r>
    </w:p>
    <w:p>
      <w:r>
        <w:t>Codes and programming: consider_bXX 0/1, None allowed. Measures intention, not observed switching.</w:t>
      </w:r>
    </w:p>
    <w:p>
      <w:pPr>
        <w:pStyle w:val="Heading2"/>
      </w:pPr>
      <w:r>
        <w:t>F2 Which of those brands would make your serious shortlist?</w:t>
      </w:r>
    </w:p>
    <w:p>
      <w:r>
        <w:t>Response: Multiple response. Ask: show F1 selections.</w:t>
      </w:r>
    </w:p>
    <w:p>
      <w:r>
        <w:t>Codes and programming: shortlist_bXX 0/1. No shortlist yet allowed.</w:t>
      </w:r>
    </w:p>
    <w:p>
      <w:pPr>
        <w:pStyle w:val="Heading2"/>
      </w:pPr>
      <w:r>
        <w:t>F3 Which one of your shortlisted brands would be your first choice?</w:t>
      </w:r>
    </w:p>
    <w:p>
      <w:r>
        <w:t>Response: Single response. Ask: any F2 selection.</w:t>
      </w:r>
    </w:p>
    <w:p>
      <w:r>
        <w:t>Codes and programming: first_choice 1–10 or 98 No choice yet. Derive firstchoice_bXX. Do not force a first choice. In the exported all-sample consolidated field, 98 also records no shortlist, when F3 was not asked. The shortlist indicators identify that route. It does not mean a skipped respondent was asked F3.</w:t>
      </w:r>
    </w:p>
    <w:p>
      <w:pPr>
        <w:pStyle w:val="Heading2"/>
      </w:pPr>
      <w:r>
        <w:t>R1 Which statement best describes your opinion of each brand?</w:t>
      </w:r>
    </w:p>
    <w:p>
      <w:r>
        <w:t>Response: Single response per recognised-brand grid. Ask: aware_bXX=1.</w:t>
      </w:r>
    </w:p>
    <w:p>
      <w:r>
        <w:t>Codes and programming: 1 Would never choose; 2 Would not usually choose; 3 Might choose; 4 Seriously consider; 5 First choice; 9 Know the name but have no opinion. Clarify conflict between rejection and F1. Unaware brands are blank.</w:t>
      </w:r>
    </w:p>
    <w:p>
      <w:r>
        <w:br w:type="page"/>
      </w:r>
    </w:p>
    <w:p>
      <w:pPr>
        <w:pStyle w:val="Heading1"/>
      </w:pPr>
      <w:r>
        <w:t>Current relationships and recent starts</w:t>
      </w:r>
    </w:p>
    <w:p>
      <w:pPr>
        <w:pStyle w:val="Heading2"/>
      </w:pPr>
      <w:r>
        <w:t>O1 Which of these brands do you currently have a personal account with?</w:t>
      </w:r>
    </w:p>
    <w:p>
      <w:r>
        <w:t>Response: Multiple response. Ask: all eligible.</w:t>
      </w:r>
    </w:p>
    <w:p>
      <w:r>
        <w:t>Codes and programming: current_bXX 0/1, current_other 0/1, current_none exclusive. Must agree with S5 and brand recognition. Multiple brands allowed. Not a single-choice market-share measure.</w:t>
      </w:r>
    </w:p>
    <w:p>
      <w:pPr>
        <w:pStyle w:val="Heading2"/>
      </w:pPr>
      <w:r>
        <w:t>O2 Which is the bank you use for most day-to-day personal banking?</w:t>
      </w:r>
    </w:p>
    <w:p>
      <w:r>
        <w:t>Response: Single response. Ask: any current relationship.</w:t>
      </w:r>
    </w:p>
    <w:p>
      <w:r>
        <w:t>Codes and programming: main_brand 1–10 or 96 Other. Must be in O1. Blank if no current relationship.</w:t>
      </w:r>
    </w:p>
    <w:p>
      <w:pPr>
        <w:pStyle w:val="Heading2"/>
      </w:pPr>
      <w:r>
        <w:t>O3 With which brands have you opened a personal account in the past 12 months?</w:t>
      </w:r>
    </w:p>
    <w:p>
      <w:r>
        <w:t>Response: Multiple response. Ask: S3=1.</w:t>
      </w:r>
    </w:p>
    <w:p>
      <w:r>
        <w:t>Codes and programming: started12_bXX 0/1 plus Other. Those outside the route get structural zero for all-sample penetration. Retain S3 so the distinction is inspectable.</w:t>
      </w:r>
    </w:p>
    <w:p>
      <w:pPr>
        <w:pStyle w:val="Heading2"/>
      </w:pPr>
      <w:r>
        <w:t>O4 For each recent start, had you had a personal account with that bank before this opening?</w:t>
      </w:r>
    </w:p>
    <w:p>
      <w:r>
        <w:t>Response: Yes or no per recent brand. Ask: O3 selects brand.</w:t>
      </w:r>
    </w:p>
    <w:p>
      <w:r>
        <w:t>Codes and programming: repeat_bXX=0/1, blank otherwise. repeat_event_bXX=1 only for a recent start with prior same-brand experience, 0 for all other respondents. Not renewal, loyalty or repeated purchase frequency.</w:t>
      </w:r>
    </w:p>
    <w:p>
      <w:pPr>
        <w:pStyle w:val="Heading2"/>
      </w:pPr>
      <w:r>
        <w:t>O5 Where did you arrange your most recent bank account opening?</w:t>
      </w:r>
    </w:p>
    <w:p>
      <w:r>
        <w:t>Response: Single response. Ask: S3=1.</w:t>
      </w:r>
    </w:p>
    <w:p>
      <w:r>
        <w:t>Codes and programming: start_channel codes 1–7 in order: Bank branch; Bank mobile app; Bank website; Retail kiosk or partner outlet; Telephone or call centre; Employer or organised scheme; Other. Blank otherwise. This is the completed-arrangement channel, not all research touchpoints.</w:t>
      </w:r>
    </w:p>
    <w:p>
      <w:pPr>
        <w:pStyle w:val="Heading2"/>
      </w:pPr>
      <w:r>
        <w:t>O6 Which best describes that start?</w:t>
      </w:r>
    </w:p>
    <w:p>
      <w:r>
        <w:t>Response: Single response. Ask: S3=1.</w:t>
      </w:r>
    </w:p>
    <w:p>
      <w:r>
        <w:t>Codes and programming: start_type 1–3: First personal account; Additional account while retaining another bank; Replacement or switch from another bank. Blank otherwise.</w:t>
      </w:r>
    </w:p>
    <w:p>
      <w:pPr>
        <w:pStyle w:val="Heading2"/>
      </w:pPr>
      <w:r>
        <w:t>O7 Which steps did you use when choosing it?</w:t>
      </w:r>
    </w:p>
    <w:p>
      <w:r>
        <w:t>Response: Multiple response. Ask: S3=1.</w:t>
      </w:r>
    </w:p>
    <w:p>
      <w:r>
        <w:t>Codes and programming: journey_j01–j07 in order: Bank website or app; Comparison websites; Branch or kiosk visit; Fee or interest comparison; App reviews; Friends or family; Rewards comparison. 0=valid nonselection, blank outside route. Percentages can exceed 100%.</w:t>
      </w:r>
    </w:p>
    <w:p>
      <w:pPr>
        <w:pStyle w:val="Heading2"/>
        <w:keepNext/>
      </w:pPr>
      <w:r>
        <w:t>Same episode ideal and actual choice</w:t>
      </w:r>
    </w:p>
    <w:p>
      <w:pPr/>
      <w:r>
        <w:t>Programming route: derive choice_episode_eligible=1 when S3 / last_acquired=1, otherwise 0. Ask E4 and E5 only when eligible=1. The event is the most recent personal bank account opening in the past 12 months. If more than one event occurred, use only the most recent. Keep all episode answers about that same event. Do not display these branded questions before the existing unaided tasks.</w:t>
      </w:r>
    </w:p>
    <w:p>
      <w:pPr>
        <w:pStyle w:val="Heading2"/>
        <w:keepNext/>
      </w:pPr>
      <w:r>
        <w:t>E4 Actual brand chosen</w:t>
      </w:r>
    </w:p>
    <w:p>
      <w:pPr>
        <w:keepNext/>
      </w:pPr>
      <w:r>
        <w:t>Thinking about your most recent personal bank account opening in the past 12 months, which brand did you actually choose?</w:t>
      </w:r>
    </w:p>
    <w:p>
      <w:pPr/>
      <w:r>
        <w:t>Response: Single response. Ask: choice_episode_eligible=1. Use the full existing tracked-brand roster and its codes 1–10, plus 96 Other named brand and 99 Cannot recall. If 96, ask “What was the brand name?” and save choice_actual_other. Save the brand code in choice_actual. Do not restrict this answer to aware brands.</w:t>
      </w:r>
    </w:p>
    <w:p>
      <w:pPr/>
      <w:r>
        <w:t>Capture this answer directly. Do not infer it from main_brand, current ownership or started12_bXX. Check consistency with the recent-event list and resolve discrepancies without silently overwriting either answer. An episode route and a recent-brand list are not a uniquely identified most-recent brand.</w:t>
      </w:r>
    </w:p>
    <w:p>
      <w:pPr>
        <w:pStyle w:val="Heading2"/>
        <w:keepNext/>
      </w:pPr>
      <w:r>
        <w:t>E5 Ideal brand for the same event</w:t>
      </w:r>
    </w:p>
    <w:p>
      <w:pPr>
        <w:keepNext/>
      </w:pPr>
      <w:r>
        <w:t>Still thinking about that same event, at the time before practical restrictions affected your choice, which brand would you ideally have chosen?</w:t>
      </w:r>
    </w:p>
    <w:p>
      <w:pPr/>
      <w:r>
        <w:t>Response: Single response. Ask: choice_episode_eligible=1, including when actual brand cannot be recalled. Codes: the same full brand roster 1–10; 96 Other named brand; 98 No particular ideal brand at the time; 99 Cannot recall. If 96, ask “What was the brand name?” and save choice_ideal_other. Save the brand code in choice_ideal. This is retrospective ideal preference, not the existing future first-choice question F3.</w:t>
      </w:r>
    </w:p>
    <w:p>
      <w:pPr/>
      <w:r>
        <w:t>Derived choice_gap: compare only known actual and ideal named brands. Code 0 Same ideal and actual brand; 1 Different ideal and actual brands. Resolve Other using trimmed, case-normalised names and confirmed brand aliases, including a match to a tracked brand if appropriate. Two code-96 answers are not automatically the same brand. Leave the gap blank for no particular ideal, cannot recall, unresolved or missing names, or an unasked episode.</w:t>
      </w:r>
    </w:p>
    <w:p>
      <w:pPr>
        <w:pStyle w:val="Heading2"/>
        <w:keepNext/>
      </w:pPr>
      <w:r>
        <w:t>E6 Reasons for a different choice</w:t>
      </w:r>
    </w:p>
    <w:p>
      <w:pPr>
        <w:keepNext/>
      </w:pPr>
      <w:r>
        <w:t>You said the brand you ideally preferred and the brand you actually chose were different. Which, if any, of the following prevented or changed your ideal choice for that same event? Select all that apply.</w:t>
      </w:r>
    </w:p>
    <w:p>
      <w:pPr/>
      <w:r>
        <w:t>Response: Multiple response. Ask: choice_gap=1 only. Retain the exact option labels below. Randomise the ten substantive reasons, keeping Another reason last; show the exclusive options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tblHeader/>
          <w:cantSplit/>
        </w:trPr>
        <w:tc>
          <w:tcPr>
            <w:tcW w:type="dxa" w:w="1584"/>
            <w:vAlign w:val="center"/>
            <w:tcMar>
              <w:top w:w="80" w:type="dxa"/>
              <w:bottom w:w="80" w:type="dxa"/>
              <w:left w:w="100" w:type="dxa"/>
              <w:right w:w="100" w:type="dxa"/>
            </w:tcMar>
            <w:shd w:fill="E8EEF5"/>
          </w:tcPr>
          <w:p>
            <w:pPr>
              <w:spacing w:after="0" w:before="0" w:line="252" w:lineRule="auto"/>
            </w:pPr>
            <w:r>
              <w:rPr>
                <w:b/>
                <w:color w:val="000000"/>
                <w:sz w:val="20"/>
              </w:rPr>
              <w:t>Code suffix</w:t>
            </w:r>
          </w:p>
        </w:tc>
        <w:tc>
          <w:tcPr>
            <w:tcW w:type="dxa" w:w="8496"/>
            <w:vAlign w:val="center"/>
            <w:tcMar>
              <w:top w:w="80" w:type="dxa"/>
              <w:bottom w:w="80" w:type="dxa"/>
              <w:left w:w="100" w:type="dxa"/>
              <w:right w:w="100" w:type="dxa"/>
            </w:tcMar>
            <w:shd w:fill="E8EEF5"/>
          </w:tcPr>
          <w:p>
            <w:pPr>
              <w:spacing w:after="0" w:before="0" w:line="252" w:lineRule="auto"/>
            </w:pPr>
            <w:r>
              <w:rPr>
                <w:b/>
                <w:color w:val="000000"/>
                <w:sz w:val="20"/>
              </w:rPr>
              <w:t>Response option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r01</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Fees or charges exceeded my budget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r02</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Preferred account or product was not available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r03</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I did not meet eligibility or documentation requirements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r04</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The account features did not fit my needs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r05</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Branch ATM or service access was inconvenient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r06</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Switching salary payments or existing commitments was difficult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r07</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household decision maker influenced the choice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r08</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New information changed my decision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r09</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Staying with a familiar provider was easier</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r10</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reason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none</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No reason or practical constraint to report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dk</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Cannot recall</w:t>
            </w:r>
          </w:p>
        </w:tc>
      </w:tr>
    </w:tbl>
    <w:p>
      <w:pPr>
        <w:spacing w:before="120"/>
      </w:pPr>
      <w:r>
        <w:t>Store choice_barrier_r01 to choice_barrier_r10 as 1 Selected or 0 Not selected among respondents answering E6. choice_barrier_none and choice_barrier_dk are separate 0/1 flags, outside the substantive MR set; each is exclusive of every reason and of the other exclusive option. Blank all E6 fields when not routed. If r10=1, ask “What other reason?” and save choice_barrier_other; otherwise leave that text blank. Require at least one reason or one exclusive option for a completed E6 response; do not convert an unanswered item into all zeros.</w:t>
      </w:r>
    </w:p>
    <w:p>
      <w:pPr>
        <w:pStyle w:val="Heading2"/>
      </w:pPr>
      <w:r>
        <w:t>C1 How do you usually choose a provider in this category?</w:t>
      </w:r>
    </w:p>
    <w:p>
      <w:r>
        <w:t>Response: Single response. Ask: all eligible.</w:t>
      </w:r>
    </w:p>
    <w:p>
      <w:r>
        <w:t>Codes and programming: 1 Preferred brand first; 2 Brief comparison of a few options; 3 Extensive comparison. Self report, not observed habit.</w:t>
      </w:r>
    </w:p>
    <w:p>
      <w:r>
        <w:t>Account opening is not routine banking usage or transaction frequency.</w:t>
      </w:r>
    </w:p>
    <w:p>
      <w:r/>
    </w:p>
    <w:p>
      <w:pPr>
        <w:pStyle w:val="Heading1"/>
      </w:pPr>
      <w:r>
        <w:t>Relevance associations and experience</w:t>
      </w:r>
    </w:p>
    <w:p>
      <w:pPr>
        <w:pStyle w:val="Heading2"/>
      </w:pPr>
      <w:r>
        <w:t>M2 Which of the situations listed in M1 would be relevant to you when choosing?</w:t>
      </w:r>
    </w:p>
    <w:p>
      <w:r>
        <w:t>Response: Multiple response. Ask: all eligible.</w:t>
      </w:r>
    </w:p>
    <w:p>
      <w:r>
        <w:t>Codes and programming: relevant_c01–c12 0/1; relevant_none exclusive. Use the same wording and raw codes. This is relevance, not incidence or frequency.</w:t>
      </w:r>
    </w:p>
    <w:p>
      <w:pPr>
        <w:pStyle w:val="Heading2"/>
      </w:pPr>
      <w:r>
        <w:t>I1 Which brands, if any, do you associate with [ATTRIBUTE]?</w:t>
      </w:r>
    </w:p>
    <w:p>
      <w:r>
        <w:t>Response: Multiple response per attribute. Ask: show recognised brands.</w:t>
      </w:r>
    </w:p>
    <w:p>
      <w:r>
        <w:t>Codes and programming: attr_aXX_bYY=0/1 among aware respondents, blank otherwise. Include exclusive None and Do not know for each attribute. Randomise attributes and store attribute_order. Pick-any associations are not scale ratings.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Attribute</w:t>
            </w:r>
          </w:p>
        </w:tc>
      </w:tr>
      <w:tr>
        <w:tc>
          <w:tcPr>
            <w:tcW w:type="dxa" w:w="5040"/>
          </w:tcPr>
          <w:p>
            <w:pPr>
              <w:spacing w:after="60"/>
            </w:pPr>
            <w:r>
              <w:rPr>
                <w:sz w:val="18"/>
              </w:rPr>
              <w:t>a01</w:t>
            </w:r>
          </w:p>
        </w:tc>
        <w:tc>
          <w:tcPr>
            <w:tcW w:type="dxa" w:w="5040"/>
          </w:tcPr>
          <w:p>
            <w:pPr>
              <w:spacing w:after="60"/>
            </w:pPr>
            <w:r>
              <w:rPr>
                <w:sz w:val="18"/>
              </w:rPr>
              <w:t>Keeps money safe</w:t>
            </w:r>
          </w:p>
        </w:tc>
      </w:tr>
      <w:tr>
        <w:tc>
          <w:tcPr>
            <w:tcW w:type="dxa" w:w="5040"/>
          </w:tcPr>
          <w:p>
            <w:pPr>
              <w:spacing w:after="60"/>
            </w:pPr>
            <w:r>
              <w:rPr>
                <w:sz w:val="18"/>
              </w:rPr>
              <w:t>a02</w:t>
            </w:r>
          </w:p>
        </w:tc>
        <w:tc>
          <w:tcPr>
            <w:tcW w:type="dxa" w:w="5040"/>
          </w:tcPr>
          <w:p>
            <w:pPr>
              <w:spacing w:after="60"/>
            </w:pPr>
            <w:r>
              <w:rPr>
                <w:sz w:val="18"/>
              </w:rPr>
              <w:t>Has low transparent fees</w:t>
            </w:r>
          </w:p>
        </w:tc>
      </w:tr>
      <w:tr>
        <w:tc>
          <w:tcPr>
            <w:tcW w:type="dxa" w:w="5040"/>
          </w:tcPr>
          <w:p>
            <w:pPr>
              <w:spacing w:after="60"/>
            </w:pPr>
            <w:r>
              <w:rPr>
                <w:sz w:val="18"/>
              </w:rPr>
              <w:t>a03</w:t>
            </w:r>
          </w:p>
        </w:tc>
        <w:tc>
          <w:tcPr>
            <w:tcW w:type="dxa" w:w="5040"/>
          </w:tcPr>
          <w:p>
            <w:pPr>
              <w:spacing w:after="60"/>
            </w:pPr>
            <w:r>
              <w:rPr>
                <w:sz w:val="18"/>
              </w:rPr>
              <w:t>Makes everyday banking easy</w:t>
            </w:r>
          </w:p>
        </w:tc>
      </w:tr>
      <w:tr>
        <w:tc>
          <w:tcPr>
            <w:tcW w:type="dxa" w:w="5040"/>
          </w:tcPr>
          <w:p>
            <w:pPr>
              <w:spacing w:after="60"/>
            </w:pPr>
            <w:r>
              <w:rPr>
                <w:sz w:val="18"/>
              </w:rPr>
              <w:t>a04</w:t>
            </w:r>
          </w:p>
        </w:tc>
        <w:tc>
          <w:tcPr>
            <w:tcW w:type="dxa" w:w="5040"/>
          </w:tcPr>
          <w:p>
            <w:pPr>
              <w:spacing w:after="60"/>
            </w:pPr>
            <w:r>
              <w:rPr>
                <w:sz w:val="18"/>
              </w:rPr>
              <w:t>Has a reliable easy-to-use app</w:t>
            </w:r>
          </w:p>
        </w:tc>
      </w:tr>
      <w:tr>
        <w:tc>
          <w:tcPr>
            <w:tcW w:type="dxa" w:w="5040"/>
          </w:tcPr>
          <w:p>
            <w:pPr>
              <w:spacing w:after="60"/>
            </w:pPr>
            <w:r>
              <w:rPr>
                <w:sz w:val="18"/>
              </w:rPr>
              <w:t>a05</w:t>
            </w:r>
          </w:p>
        </w:tc>
        <w:tc>
          <w:tcPr>
            <w:tcW w:type="dxa" w:w="5040"/>
          </w:tcPr>
          <w:p>
            <w:pPr>
              <w:spacing w:after="60"/>
            </w:pPr>
            <w:r>
              <w:rPr>
                <w:sz w:val="18"/>
              </w:rPr>
              <w:t>Provides helpful service</w:t>
            </w:r>
          </w:p>
        </w:tc>
      </w:tr>
      <w:tr>
        <w:tc>
          <w:tcPr>
            <w:tcW w:type="dxa" w:w="5040"/>
          </w:tcPr>
          <w:p>
            <w:pPr>
              <w:spacing w:after="60"/>
            </w:pPr>
            <w:r>
              <w:rPr>
                <w:sz w:val="18"/>
              </w:rPr>
              <w:t>a06</w:t>
            </w:r>
          </w:p>
        </w:tc>
        <w:tc>
          <w:tcPr>
            <w:tcW w:type="dxa" w:w="5040"/>
          </w:tcPr>
          <w:p>
            <w:pPr>
              <w:spacing w:after="60"/>
            </w:pPr>
            <w:r>
              <w:rPr>
                <w:sz w:val="18"/>
              </w:rPr>
              <w:t>Makes cash access convenient</w:t>
            </w:r>
          </w:p>
        </w:tc>
      </w:tr>
      <w:tr>
        <w:tc>
          <w:tcPr>
            <w:tcW w:type="dxa" w:w="5040"/>
          </w:tcPr>
          <w:p>
            <w:pPr>
              <w:spacing w:after="60"/>
            </w:pPr>
            <w:r>
              <w:rPr>
                <w:sz w:val="18"/>
              </w:rPr>
              <w:t>a07</w:t>
            </w:r>
          </w:p>
        </w:tc>
        <w:tc>
          <w:tcPr>
            <w:tcW w:type="dxa" w:w="5040"/>
          </w:tcPr>
          <w:p>
            <w:pPr>
              <w:spacing w:after="60"/>
            </w:pPr>
            <w:r>
              <w:rPr>
                <w:sz w:val="18"/>
              </w:rPr>
              <w:t>Offers useful rewards</w:t>
            </w:r>
          </w:p>
        </w:tc>
      </w:tr>
      <w:tr>
        <w:tc>
          <w:tcPr>
            <w:tcW w:type="dxa" w:w="5040"/>
          </w:tcPr>
          <w:p>
            <w:pPr>
              <w:spacing w:after="60"/>
            </w:pPr>
            <w:r>
              <w:rPr>
                <w:sz w:val="18"/>
              </w:rPr>
              <w:t>a08</w:t>
            </w:r>
          </w:p>
        </w:tc>
        <w:tc>
          <w:tcPr>
            <w:tcW w:type="dxa" w:w="5040"/>
          </w:tcPr>
          <w:p>
            <w:pPr>
              <w:spacing w:after="60"/>
            </w:pPr>
            <w:r>
              <w:rPr>
                <w:sz w:val="18"/>
              </w:rPr>
              <w:t>Understands people like me</w:t>
            </w:r>
          </w:p>
        </w:tc>
      </w:tr>
      <w:tr>
        <w:tc>
          <w:tcPr>
            <w:tcW w:type="dxa" w:w="5040"/>
          </w:tcPr>
          <w:p>
            <w:pPr>
              <w:spacing w:after="60"/>
            </w:pPr>
            <w:r>
              <w:rPr>
                <w:sz w:val="18"/>
              </w:rPr>
              <w:t>a09</w:t>
            </w:r>
          </w:p>
        </w:tc>
        <w:tc>
          <w:tcPr>
            <w:tcW w:type="dxa" w:w="5040"/>
          </w:tcPr>
          <w:p>
            <w:pPr>
              <w:spacing w:after="60"/>
            </w:pPr>
            <w:r>
              <w:rPr>
                <w:sz w:val="18"/>
              </w:rPr>
              <w:t>Helps me manage and save money</w:t>
            </w:r>
          </w:p>
        </w:tc>
      </w:tr>
      <w:tr>
        <w:tc>
          <w:tcPr>
            <w:tcW w:type="dxa" w:w="5040"/>
          </w:tcPr>
          <w:p>
            <w:pPr>
              <w:spacing w:after="60"/>
            </w:pPr>
            <w:r>
              <w:rPr>
                <w:sz w:val="18"/>
              </w:rPr>
              <w:t>a10</w:t>
            </w:r>
          </w:p>
        </w:tc>
        <w:tc>
          <w:tcPr>
            <w:tcW w:type="dxa" w:w="5040"/>
          </w:tcPr>
          <w:p>
            <w:pPr>
              <w:spacing w:after="60"/>
            </w:pPr>
            <w:r>
              <w:rPr>
                <w:sz w:val="18"/>
              </w:rPr>
              <w:t>Resolves problems fairly</w:t>
            </w:r>
          </w:p>
        </w:tc>
      </w:tr>
    </w:tbl>
    <w:p>
      <w:pPr>
        <w:pStyle w:val="Heading2"/>
        <w:keepNext/>
      </w:pPr>
      <w:r>
        <w:t>Direct needs fit differentiation and price justification</w:t>
      </w:r>
    </w:p>
    <w:p>
      <w:pPr/>
      <w:r>
        <w:t>Ask E1–E3 after all existing association tasks. Show recognised brands only: aware_bXX=1. These are single-response ratings per brand, not pick-any attributes. Use the existing respondent-specific randomised brand_order for all three batteries. Keep unaided recall, association tasks and future first choice unchanged.</w:t>
      </w:r>
    </w:p>
    <w:p>
      <w:pPr>
        <w:pStyle w:val="Heading2"/>
        <w:keepNext/>
      </w:pPr>
      <w:r>
        <w:t>E1 Personal needs fit</w:t>
      </w:r>
    </w:p>
    <w:p>
      <w:pPr>
        <w:keepNext/>
      </w:pPr>
      <w:r>
        <w:t>How much do you agree or disagree with this statement? [BRAND] meets my personal needs for personal banking.</w:t>
      </w:r>
    </w:p>
    <w:p>
      <w:pPr>
        <w:keepLines/>
      </w:pPr>
      <w:r>
        <w:t>Response: Single response per aware brand. Store needsfit_b01 to needsfit_b10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E2 Meaningful differentiation</w:t>
      </w:r>
    </w:p>
    <w:p>
      <w:pPr>
        <w:keepNext/>
      </w:pPr>
      <w:r>
        <w:t>How much do you agree or disagree with this statement? [BRAND] offers something meaningfully different from other personal banking brands.</w:t>
      </w:r>
    </w:p>
    <w:p>
      <w:pPr>
        <w:keepLines/>
      </w:pPr>
      <w:r>
        <w:t>Response: Single response per aware brand. Store different_b01 to different_b10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E3 Perceived price justification</w:t>
      </w:r>
    </w:p>
    <w:p>
      <w:pPr>
        <w:keepNext/>
      </w:pPr>
      <w:r>
        <w:t>How much do you agree or disagree with this statement? Compared with alternatives that meet similar needs, [BRAND] is worth its fees and charges.</w:t>
      </w:r>
    </w:p>
    <w:p>
      <w:pPr>
        <w:keepLines/>
      </w:pPr>
      <w:r>
        <w:t>Response: Single response per aware brand. Store pricejustify_b01 to pricejustify_b10 using the existing brand roster. Codes: 1 Strongly disagree; 2 Disagree; 3 Neither agree nor disagree; 4 Agree; 5 Strongly agree; 9 Not familiar enough with its prices to judge. Leave blank when the brand is not recognised or the question was not asked. Do not force a midpoint response when the respondent cannot judge.</w:t>
      </w:r>
    </w:p>
    <w:p>
      <w:pPr/>
      <w:r>
        <w:t>Analysis note: report these constructs separately. Price justification compares perceived worth with relevant alternatives; it is not the existing good-value association and does not establish willingness to pay, elasticity or actual pricing power. New generic items do not implement proprietary scoring.</w:t>
      </w:r>
    </w:p>
    <w:p>
      <w:pPr>
        <w:pStyle w:val="Heading2"/>
      </w:pPr>
      <w:r>
        <w:t>I2 How likely would you be to recommend your main provider to someone choosing in this category?</w:t>
      </w:r>
    </w:p>
    <w:p>
      <w:r>
        <w:t>Response: 0–10 scale. Ask: main_brand 1–10.</w:t>
      </w:r>
    </w:p>
    <w:p>
      <w:r>
        <w:t>Codes and programming: nps_main: 0 Not at all likely through 10 Extremely likely; 99 Do not know. NPS excludes 99 and uses only valid main-provider users.</w:t>
      </w:r>
    </w:p>
    <w:p>
      <w:pPr>
        <w:pStyle w:val="Heading2"/>
      </w:pPr>
      <w:r>
        <w:t>X1 Which types of personal banking products do you currently hold?</w:t>
      </w:r>
    </w:p>
    <w:p>
      <w:r>
        <w:t>Response: Multiple response. Ask: S5=1.</w:t>
      </w:r>
    </w:p>
    <w:p>
      <w:r>
        <w:t>Codes and programming: product_p01–p04: Transactional account; Savings or investment account; Credit card; Loan or credit facility. At least one current product. Blank outside route. Record as an MR set, not four scale items.</w:t>
      </w:r>
    </w:p>
    <w:p>
      <w:pPr>
        <w:pStyle w:val="Heading2"/>
      </w:pPr>
      <w:r>
        <w:t>X2 In the past 12 months have you had a banking problem or disputed transaction involving your main provider?</w:t>
      </w:r>
    </w:p>
    <w:p>
      <w:r>
        <w:t>Response: Single response. Ask: main_brand 1–10.</w:t>
      </w:r>
    </w:p>
    <w:p>
      <w:r>
        <w:t>Codes and programming: experience_event 0 No; 1 Yes. No claim about verified fault. Blank outside route.</w:t>
      </w:r>
    </w:p>
    <w:p>
      <w:pPr>
        <w:pStyle w:val="Heading2"/>
      </w:pPr>
      <w:r>
        <w:t>X3 Was your most recent a banking problem or disputed transaction resolved?</w:t>
      </w:r>
    </w:p>
    <w:p>
      <w:r>
        <w:t>Response: Single response. Ask: X2=1.</w:t>
      </w:r>
    </w:p>
    <w:p>
      <w:r>
        <w:t>Codes and programming: experience_resolution 1 Fully; 2 Partly; 3 Not resolved; 9 Still in progress. Blank otherwise. 9 is substantive, not global missing.</w:t>
      </w:r>
    </w:p>
    <w:p>
      <w:r>
        <w:br w:type="page"/>
      </w:r>
    </w:p>
    <w:p>
      <w:pPr>
        <w:pStyle w:val="Heading1"/>
      </w:pPr>
      <w:r>
        <w:t>Advertising word of mouth and profile</w:t>
      </w:r>
    </w:p>
    <w:p>
      <w:pPr>
        <w:pStyle w:val="Heading2"/>
      </w:pPr>
      <w:r>
        <w:t>AD1 Which brands have you seen or heard advertising for in the past four weeks?</w:t>
      </w:r>
    </w:p>
    <w:p>
      <w:r>
        <w:t>Response: Open text multiple mentions. Ask: all eligible.</w:t>
      </w:r>
    </w:p>
    <w:p>
      <w:r>
        <w:t>Codes and programming: advertising_verbatim and ad_unaided_bXX. Asked after the brand list, so explicitly label recall after brand-list exposure. It is not an uncontaminated spontaneous awareness task.</w:t>
      </w:r>
    </w:p>
    <w:p>
      <w:pPr>
        <w:pStyle w:val="Heading2"/>
      </w:pPr>
      <w:r>
        <w:t>AD2 Have you seen or heard advertising for [BRAND] in the past four weeks?</w:t>
      </w:r>
    </w:p>
    <w:p>
      <w:r>
        <w:t>Response: Single response per brand grid. Ask: aware_bXX=1.</w:t>
      </w:r>
    </w:p>
    <w:p>
      <w:r>
        <w:t>Codes and programming: adprompt_bXX: 1 Yes; 0 No; 9 Not sure. Blank unaware. adrecall_bXX=1 for Yes, else all-sample 0; disclose uncertainty separately.</w:t>
      </w:r>
    </w:p>
    <w:p>
      <w:pPr>
        <w:pStyle w:val="Heading2"/>
      </w:pPr>
      <w:r>
        <w:t>W1 What have you heard other people say about [BRAND] in the past four weeks?</w:t>
      </w:r>
    </w:p>
    <w:p>
      <w:r>
        <w:t>Response: Single response per brand grid. Ask: aware_bXX=1.</w:t>
      </w:r>
    </w:p>
    <w:p>
      <w:r>
        <w:t>Codes and programming: 1 Mainly positive; 2 Mainly negative; 3 Mixed positive and negative; 4 Neutral comments; 5 Not heard. Unaware blank. Show six chart states including unaware. Never merge mixed or neutral into Not heard without relabelling.</w:t>
      </w:r>
    </w:p>
    <w:p>
      <w:pPr>
        <w:pStyle w:val="Heading2"/>
      </w:pPr>
      <w:r>
        <w:t>P1 Which media have you used in the past seven days?</w:t>
      </w:r>
    </w:p>
    <w:p>
      <w:r>
        <w:t>Response: Multiple response. Ask: all eligible.</w:t>
      </w:r>
    </w:p>
    <w:p>
      <w:r>
        <w:t>Codes and programming: media_m01–m12: YouTube; Facebook; Instagram; TikTok; X; LinkedIn; Broadcast television or DStv; Radio; Video streaming; Audio streaming or podcasts; Online news or category websites; AI chatbots. media_none exclusive. This is use, not verified advertising exposure.</w:t>
      </w:r>
    </w:p>
    <w:p>
      <w:pPr>
        <w:pStyle w:val="Heading2"/>
      </w:pPr>
      <w:r>
        <w:t>D1 How do you describe your gender?</w:t>
      </w:r>
    </w:p>
    <w:p>
      <w:r>
        <w:t>Response: Single response. Ask: all eligible.</w:t>
      </w:r>
    </w:p>
    <w:p>
      <w:r>
        <w:t>Codes and programming: 1 Man; 2 Woman; 3 Another identity; 4 Prefer not to say.</w:t>
      </w:r>
    </w:p>
    <w:p>
      <w:pPr>
        <w:pStyle w:val="Heading2"/>
      </w:pPr>
      <w:r>
        <w:t>D2 Which province do you live in?</w:t>
      </w:r>
    </w:p>
    <w:p>
      <w:r>
        <w:t>Response: Single response. Ask: all eligible.</w:t>
      </w:r>
    </w:p>
    <w:p>
      <w:r>
        <w:t>Codes and programming: 1 Gauteng; 2 KwaZulu-Natal; 3 Western Cape; 4 Eastern Cape; 5 Limpopo; 6 Mpumalanga; 7 North West; 8 Free State; 9 Northern Cape.</w:t>
      </w:r>
    </w:p>
    <w:p>
      <w:pPr>
        <w:pStyle w:val="Heading2"/>
      </w:pPr>
      <w:r>
        <w:t>D3 Which best describes where you live?</w:t>
      </w:r>
    </w:p>
    <w:p>
      <w:r>
        <w:t>Response: Single response. Ask: all eligible.</w:t>
      </w:r>
    </w:p>
    <w:p>
      <w:r>
        <w:t>Codes and programming: 1 Metro or city; 2 Town; 3 Rural area.</w:t>
      </w:r>
    </w:p>
    <w:p>
      <w:pPr>
        <w:pStyle w:val="Heading2"/>
      </w:pPr>
      <w:r>
        <w:t>D4 What is your monthly household income before tax?</w:t>
      </w:r>
    </w:p>
    <w:p>
      <w:r>
        <w:t>Response: Single response. Ask: all eligible.</w:t>
      </w:r>
    </w:p>
    <w:p>
      <w:r>
        <w:t>Codes and programming: 1 Below R15,000; 2 R15,000–R29,999; 3 R30,000–R49,999; 4 R50,000–R79,999; 5 R80,000 or more; 99 Prefer not to say. Exclude 99 from income-profile denominators.</w:t>
      </w:r>
    </w:p>
    <w:p>
      <w:pPr>
        <w:pStyle w:val="Heading2"/>
      </w:pPr>
      <w:r>
        <w:t>D5 Which best describes your household?</w:t>
      </w:r>
    </w:p>
    <w:p>
      <w:r>
        <w:t>Response: Single response. Ask: all eligible.</w:t>
      </w:r>
    </w:p>
    <w:p>
      <w:r>
        <w:t>Codes and programming: 1 Single without children; 2 Couple without children; 3 Dependent children; 4 Other arrangement.</w:t>
      </w:r>
    </w:p>
    <w:p>
      <w:r>
        <w:t>Record version, date, wave and randomised orders. Use anonymous text IDs, no names, account numbers, policy numbers or telephone numbers. Keep the full instrument unchanged across waves except for planned, documented bridges.</w:t>
      </w:r>
    </w:p>
    <w:p>
      <w:r/>
    </w:p>
    <w:p>
      <w:pPr>
        <w:pStyle w:val="Heading1"/>
      </w:pPr>
      <w:r>
        <w:t>Sources and interpretation</w:t>
      </w:r>
    </w:p>
    <w:p>
      <w:r>
        <w:t>The cue-based approach and separate mental-availability metrics are informed by Romaniuk (2022). Cue wording must be elicited and tested in the category (Ehrenberg-Bass Institute for Marketing Science, n.d.). Public sources establish category context and brand identity only; they do not supply the synthetic percentages. Timelaps provides the chart-family reference, not a disclosed proprietary instrument.</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p>
      <w:pPr>
        <w:ind w:left="360" w:hanging="360"/>
      </w:pPr>
      <w:r>
        <w:t xml:space="preserve">South African Reserve Bank. (n.d.). </w:t>
      </w:r>
      <w:r>
        <w:rPr>
          <w:i/>
        </w:rPr>
        <w:t>Member banks.</w:t>
      </w:r>
      <w:r>
        <w:t xml:space="preserve">  https://www.resbank.co.za/en/home/what-we-do/Deposit-insurance/member-banks0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