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BMW South Africa brand tracking research brief</w:t>
      </w:r>
    </w:p>
    <w:p>
      <w:r>
        <w:t>Mock client brief from the Research and Customer Insights Manager | Agency invitation | 15 January 2026</w:t>
      </w:r>
    </w:p>
    <w:p>
      <w:r>
        <w:t>To prospective research partners: We invite proposals for a three-wave passenger-vehicle brand tracker to help BMW South Africa understand how our brand enters consideration, where it is mentally available and what is limiting conversion to a serious shortlist. This is a fictional commissioning brief for a synthetic demonstration study, not a BMW-issued document.</w:t>
      </w:r>
    </w:p>
    <w:p>
      <w:pPr>
        <w:pStyle w:val="Heading1"/>
      </w:pPr>
      <w:r>
        <w:t>Business context and decisions</w:t>
      </w:r>
    </w:p>
    <w:p>
      <w:r>
        <w:t>We need a consistent view of BMW within the broader vehicle market and against premium competitors. Please distinguish brand reach from strength among people already familiar with us. The work should inform which buying situations our communications address, which perceptions require attention and where dealer or ownership experience deserves investigation.</w:t>
      </w:r>
    </w:p>
    <w:p>
      <w:r>
        <w:t>Decisions: prioritise communication territories; select audiences for further investigation without excluding future buyers prematurely; identify funnel barriers; monitor advertising recall and word of mouth; and determine what evidence is needed before changing media, propositions or dealer activity. Tracking alone will not establish causal advertising return or sales impact.</w:t>
      </w:r>
    </w:p>
    <w:p>
      <w:pPr>
        <w:pStyle w:val="Heading1"/>
      </w:pPr>
      <w:r>
        <w:t>Research objectives</w:t>
      </w:r>
    </w:p>
    <w:p>
      <w:pPr>
        <w:pStyle w:val="ListBullet"/>
      </w:pPr>
      <w:r>
        <w:t>Measure top-of-mind, total spontaneous and prompted awareness separately.</w:t>
      </w:r>
    </w:p>
    <w:p>
      <w:pPr>
        <w:pStyle w:val="ListBullet"/>
      </w:pPr>
      <w:r>
        <w:t>Track consideration, serious shortlist and first choice using a consistent nested framework.</w:t>
      </w:r>
    </w:p>
    <w:p>
      <w:pPr>
        <w:pStyle w:val="ListBullet"/>
      </w:pPr>
      <w:r>
        <w:t>Measure current ownership, past-12-month acquisition and repeat acquisition separately from intentions.</w:t>
      </w:r>
    </w:p>
    <w:p>
      <w:pPr>
        <w:pStyle w:val="ListBullet"/>
      </w:pPr>
      <w:r>
        <w:t>Identify relevant category entry points and the brands recalled for each; assess BMW’s mental penetration, network breadth and share of measured memory links.</w:t>
      </w:r>
    </w:p>
    <w:p>
      <w:pPr>
        <w:pStyle w:val="ListBullet"/>
      </w:pPr>
      <w:r>
        <w:t>Compare brand associations and perceptual structure, controlling interpretation for brand size and differing familiarity.</w:t>
      </w:r>
    </w:p>
    <w:p>
      <w:pPr>
        <w:pStyle w:val="ListBullet"/>
      </w:pPr>
      <w:r>
        <w:t>Track advertising recall, direction of word of mouth, category decision style, purchase channels and media use.</w:t>
      </w:r>
    </w:p>
    <w:p>
      <w:pPr>
        <w:pStyle w:val="ListBullet"/>
      </w:pPr>
      <w:r>
        <w:t>Compare waves and important subgroups using explicit bases, uncertainty and a consistent method.</w:t>
      </w:r>
    </w:p>
    <w:p>
      <w:pPr>
        <w:pStyle w:val="ListBullet"/>
      </w:pPr>
      <w:r>
        <w:t>Measure whether each known brand meets personal needs for passenger vehicles and offers something meaningfully different from alternatives. Keep these direct ratings separate from generic attribute associations.</w:t>
      </w:r>
    </w:p>
    <w:p>
      <w:pPr>
        <w:pStyle w:val="ListBullet"/>
      </w:pPr>
      <w:r>
        <w:t>Compare the brand ideally preferred at the time with the brand actually chosen for the same most recent household passenger vehicle purchase or lease in the past 12 months including new and used vehicles; capture reported reasons when the brands differ.</w:t>
      </w:r>
    </w:p>
    <w:p>
      <w:pPr>
        <w:pStyle w:val="ListBullet"/>
      </w:pPr>
      <w:r>
        <w:t>Measure perceived justification of purchase or lease price for comparable vehicles relative to comparable alternatives. Retain the existing good-value association as a different measure.</w:t>
      </w:r>
    </w:p>
    <w:p>
      <w:pPr>
        <w:pStyle w:val="Heading1"/>
      </w:pPr>
      <w:r>
        <w:t>Market and sample</w:t>
      </w:r>
    </w:p>
    <w:p>
      <w:r>
        <w:t>South Africa. Adults 18–69 with sole or shared household vehicle-choice responsibility, who acquired a passenger vehicle in the past five years or expect to do so within three years. Include new, used and leased vehicles, light buyers, non-BMW buyers and prospective entrants. Core sample: 1,000 independent respondents per wave. Any premium-owner boost must be separately identified and properly weighted; the supplied demonstration has no boost.</w:t>
      </w:r>
    </w:p>
    <w:p>
      <w:r>
        <w:t>Please propose recruitment, coverage, quota and weighting procedures, expected subgroup precision and limits of online coverage. Population targets must come from verified external sources in a real proposal. Do not describe a quota sample as a probability sample. Demonstration waves are February, June and October 2026, with a stable target population and instrument.</w:t>
      </w:r>
    </w:p>
    <w:p>
      <w:r/>
    </w:p>
    <w:p>
      <w:pPr>
        <w:pStyle w:val="Heading1"/>
      </w:pPr>
      <w:r>
        <w:t>Brand scope and questionnaire requirements</w:t>
      </w:r>
    </w:p>
    <w:p>
      <w:r>
        <w:t>Core competitors: Toyota, Volkswagen, Ford, Hyundai, Kia, Nissan, Suzuki, BMW, Mercedes-Benz and Haval. Retain Other brand responses. This is a deliberately broad demonstration set, not a complete South African market universe. For real commissioning, propose whether Audi, Volvo and other relevant premium brands should join before baseline; avoid adding brands midway without a comparability bridge.</w:t>
      </w:r>
    </w:p>
    <w:p>
      <w:r>
        <w:t>General unaided awareness must precede all brand prompts. CEP recall should be unprompted and distinct from image association. Include exclusive None and Do not know options where appropriate. Randomise lists and retain order metadata. Use automotive purchase horizons and do not relabel frequent coffee purchasing as frequent car purchasing. Propose an elicitation phase to refine the provisional situation list before real fieldwork.</w:t>
      </w:r>
    </w:p>
    <w:p>
      <w:pPr>
        <w:pStyle w:val="Heading1"/>
        <w:keepNext/>
      </w:pPr>
      <w:r>
        <w:t>Additional measurement requirements</w:t>
      </w:r>
    </w:p>
    <w:p>
      <w:pPr/>
      <w:r>
        <w:t>Add E1 needs fit, E2 meaningful differentiation and E3 price justification after the existing association tasks, never before unaided recall. Ask each rating only for brands the respondent recognises, with five fully labelled agreement points and an explicit cannot-judge option. E3 must offer “Not familiar enough with its prices to judge”. Pilot the added burden and timing; do not assume the former interview length still applies.</w:t>
      </w:r>
    </w:p>
    <w:p>
      <w:pPr/>
      <w:r>
        <w:t>Place E4 actual choice, E5 ideal choice and E6 reasons immediately after the recent acquisition or start questions. Use last_acquired=1 to identify the past-12 months episode, and select the most recent event if several occurred. Ask actual brand afresh; do not substitute the main provider, current ownership or any brand in a multiple-response recent-start list. Ask ideal brand retrospectively for that exact event before practical restrictions, not as a future wish. Existing future first choice is unchanged.</w:t>
      </w:r>
    </w:p>
    <w:p>
      <w:pPr/>
      <w:r>
        <w:t>These are separate generic constructs, not a proprietary brand-equity model or a Kantar score. Perceived price justification does not measure willingness to pay, price elasticity or actual pricing power. A reported preference gap and reasons can suggest practical restrictions or a changed decision, but cannot causally establish that a brand is weak or strong.</w:t>
      </w:r>
    </w:p>
    <w:p>
      <w:pPr>
        <w:pStyle w:val="Heading1"/>
      </w:pPr>
      <w:r>
        <w:t>Required deliverables</w:t>
      </w:r>
    </w:p>
    <w:p>
      <w:pPr>
        <w:pStyle w:val="ListBullet"/>
      </w:pPr>
      <w:r>
        <w:t>Questionnaire with routing, response types, exact scales and randomisation.</w:t>
      </w:r>
    </w:p>
    <w:p>
      <w:pPr>
        <w:pStyle w:val="ListBullet"/>
      </w:pPr>
      <w:r>
        <w:t>Three respondent-level Excel files with identical schemas, text IDs and embedded value labels and MR-set definitions.</w:t>
      </w:r>
    </w:p>
    <w:p>
      <w:pPr>
        <w:pStyle w:val="ListBullet"/>
      </w:pPr>
      <w:r>
        <w:t>Master codebook and chart specification with numerator, denominator, timeframe, weighting and missing-data rules.</w:t>
      </w:r>
    </w:p>
    <w:p>
      <w:pPr>
        <w:pStyle w:val="ListBullet"/>
      </w:pPr>
      <w:r>
        <w:t>Competitive funnels, conditional funnel ratios, trends, unfamiliarity/rejection, CEP size/strength/matrix/fingerprint, brand associations/positioning, advertising/WOM, category behaviours, demographics and media profiles.</w:t>
      </w:r>
    </w:p>
    <w:p>
      <w:pPr>
        <w:pStyle w:val="ListBullet"/>
      </w:pPr>
      <w:r>
        <w:t>Editable presentation and an analytical report with sources, bases, caveats and priorities. Provide accessible chart data, not images alone.</w:t>
      </w:r>
    </w:p>
    <w:p>
      <w:pPr>
        <w:pStyle w:val="ListBullet"/>
      </w:pPr>
      <w:r>
        <w:t>Reproducible QA and a clear separation between descriptive movement, statistical evidence and business interpretation.</w:t>
      </w:r>
    </w:p>
    <w:p>
      <w:pPr>
        <w:pStyle w:val="ListBullet"/>
      </w:pPr>
      <w:r>
        <w:t>Add separate needs-fit, differentiation and price-justification distributions, top-two-box ratings and trends, plus same-episode ideal versus actual brand shares, brand-specific preference fulfilment and conditional reasons. Show valid, unknown and routed bases separately. Deliver the written Claude extension guide while retaining existing dashboard features and visual design.</w:t>
      </w:r>
    </w:p>
    <w:p>
      <w:pPr>
        <w:pStyle w:val="Heading1"/>
      </w:pPr>
      <w:r>
        <w:t>Agency response and evaluation</w:t>
      </w:r>
    </w:p>
    <w:p>
      <w:r>
        <w:t>Please submit your proposed design, coverage and exclusions, pilot process, fieldwork controls, processing and weighting approach, chart definitions, timetable and itemised commercial estimate. Separate setup, each wave, optional boosts and analytical extensions. Demonstrate automotive experience with permitted examples and identify named responsibilities. We will evaluate methodological fit, clarity of interpretation, delivery quality, reproducibility, cost and preservation of continuity across waves.</w:t>
      </w:r>
    </w:p>
    <w:p>
      <w:pPr>
        <w:pStyle w:val="Heading1"/>
      </w:pPr>
      <w:r>
        <w:t>Governance and success criteria</w:t>
      </w:r>
    </w:p>
    <w:p>
      <w:r>
        <w:t>Use only properly consented data in any real study. Follow applicable privacy requirements and BMW commissioning procedures as agreed, with retention, access and transfer arrangements documented. Do not infer access to BMW systems or customer data from this mock brief. Every published figure must trace to a defined variable, base and wave. Brand differences should not be turned into causal claims. All recommendations must distinguish what the data supports from what should be tested next.</w:t>
      </w:r>
    </w:p>
    <w:p>
      <w:pPr/>
      <w:r>
        <w:t>The additive test pack retains 1,000 synthetic respondents per wave across three waves, all original IDs and original field values. New extension values are demonstration fixtures, not observed brand evidence. Test the added fields, coding and routes alongside the existing measures.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BMW car brand tracker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