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personal short term insurance analysis and import guide</w:t>
      </w:r>
    </w:p>
    <w:p>
      <w:r>
        <w:t>OUTsurance focal brand | Transparent chart specifications | Synthetic data</w:t>
      </w:r>
    </w:p>
    <w:p>
      <w:r>
        <w:t>Use this pack to reconstruct the visible Timelaps chart families for personal motor and home insurance. It supplies independently defined measures, not a proprietary Timelaps replica. No actual market levels, real company performance, licensed proprietary norms or validated questionnaire are claimed.</w:t>
      </w:r>
    </w:p>
    <w:p>
      <w:pPr>
        <w:pStyle w:val="Heading1"/>
      </w:pPr>
      <w:r>
        <w:t>Import and matching</w:t>
      </w:r>
    </w:p>
    <w:p>
      <w:r>
        <w:t>Import each wave workbook separately. Select Respondents as the case-level sheet. Match wave variables and raw codes, never labels or order. Codebook, Labels and MR sets are embedded; Master_Codebook adds registries and chart definitions. Metadata compatibility with the current application has not been executed. Map the explicit schema if its importer needs another supported format.</w:t>
      </w:r>
    </w:p>
    <w:p>
      <w:r>
        <w:t>IDs are eight-character text with leading zeros, unique across all three sector packs. Blank means structurally not asked. Binary 0 means observed nonselection. Income 99 and NPS 99 are nonresponse. Opinion and advertising code 9 have substantive meanings; never make 9 globally missing. None flags sit outside substantive MR sets. first_choice is consolidated across the sample: 98 includes no shortlist as well as no stated first choice. Use shortlist indicators to distinguish the unasked route.</w:t>
      </w:r>
    </w:p>
    <w:p>
      <w:pPr>
        <w:pStyle w:val="Heading2"/>
        <w:keepNext/>
      </w:pPr>
      <w:r>
        <w:t>Extension import fields</w:t>
      </w:r>
    </w:p>
    <w:p>
      <w:pPr/>
      <w:r>
        <w:t>The extension adds 49 fields to each wave: 501 original columns become 550. All three waves retain 1,000 respondent rows. Preserve original respondent IDs as text and all original values. The new values are synthetic demonstration fixtures, not additional people or collected evidence. Import their labels and question-specific codes from the embedded Codebook and Labels sheets or Master_Codebook; do not treat reference outputs as respondents.</w:t>
      </w:r>
    </w:p>
    <w:p>
      <w:pPr/>
      <w:r>
        <w:t>Extension clarification to the legacy import advice: the intended dashboard extension automatically recognises constructs from labels, question wording, response codes and routes. A custom JSON file or manual mapping is not a required researcher step. Inspectable diagnostics and targeted confirmation are reserved for genuinely ambiguous matches. The existing caveat about untested application compatibility remains; the supplied files alone do not certify an app import.</w:t>
      </w:r>
    </w:p>
    <w:p>
      <w:pPr>
        <w:pStyle w:val="Heading1"/>
      </w:pPr>
      <w:r>
        <w:t>Category distinctions</w:t>
      </w:r>
    </w:p>
    <w:p>
      <w:r>
        <w:t>This is a consumer-brand tracker, not a registry of independent underwriting groups. Brands may share owners or underwriters and must not be treated as independent corroborating sources. No life, funeral or health results can be inferred. A renewal without taking new or replacement cover does not count as a new-policy start.</w:t>
      </w:r>
    </w:p>
    <w:p>
      <w:r>
        <w:t>Current relationship variables are current_bXX. Recent starts are started12_bXX, using past 12 months. Repeat-event flags require a recent start and prior same-brand experience. New policy starts, renewal, current cover and claims are different events. Do not call them purchase frequency.</w:t>
      </w:r>
    </w:p>
    <w:p>
      <w:pPr>
        <w:pStyle w:val="Heading1"/>
      </w:pPr>
      <w:r>
        <w:t>Reference files and test use</w:t>
      </w:r>
    </w:p>
    <w:p>
      <w:r>
        <w:t>Reference_Metrics.xlsx and reference_results.json give expected values with numerator, denominator, raw base, units and weighting. They are for Codex to compare with application outputs, not respondent files to import. They establish fixture arithmetic and consistency, not an application pass. JSON makes the answer key easy for an automated test to read. CSV provides a portable fallback. Neither is required for a normal researcher workflow.</w:t>
      </w:r>
    </w:p>
    <w:p>
      <w:pPr>
        <w:pStyle w:val="Heading1"/>
      </w:pPr>
      <w:r>
        <w:t>Weighting and small bases</w:t>
      </w:r>
    </w:p>
    <w:p>
      <w:r>
        <w:t>Relative synthetic weights are bounded random weights normalised to approximately 1,000 in each wave. They are not population calibration weights. Kish effective base=(sum w)^2/sum(w^2). There are no PSU or strata. Do not describe weighted outputs as representative South African market estimates. Flag raw n&lt;50, suppress inference for n&lt;30 and show actual bases. All reference values remain inspectable even when the display rule requires qualification. No customer boost is hidden in the data.</w:t>
      </w:r>
    </w:p>
    <w:p>
      <w:r/>
    </w:p>
    <w:p>
      <w:pPr>
        <w:pStyle w:val="Heading1"/>
      </w:pPr>
      <w:r>
        <w:t>Chart construction</w:t>
      </w:r>
    </w:p>
    <w:p>
      <w:pPr>
        <w:pStyle w:val="Heading2"/>
      </w:pPr>
      <w:r>
        <w:t>Overview and performance</w:t>
      </w:r>
    </w:p>
    <w:p>
      <w:r>
        <w:t>Variables: aware, consider, shortlist, firstchoice. Base: All eligible. Awareness → consideration → shortlist → first choice. Current relationships and recent starts are separate.</w:t>
      </w:r>
    </w:p>
    <w:p>
      <w:pPr>
        <w:pStyle w:val="Heading2"/>
      </w:pPr>
      <w:r>
        <w:t>Conversion</w:t>
      </w:r>
    </w:p>
    <w:p>
      <w:r>
        <w:t>Variables: Nested stage indicators. Base: Preceding stage. Cross-sectional conditional ratio, not causal conversion.</w:t>
      </w:r>
    </w:p>
    <w:p>
      <w:pPr>
        <w:pStyle w:val="Heading2"/>
      </w:pPr>
      <w:r>
        <w:t>Timeline</w:t>
      </w:r>
    </w:p>
    <w:p>
      <w:r>
        <w:t>Variables: Stable metrics across waves. Base: Independent samples. No respondent overlap; do not use paired-person tests.</w:t>
      </w:r>
    </w:p>
    <w:p>
      <w:pPr>
        <w:pStyle w:val="Heading2"/>
      </w:pPr>
      <w:r>
        <w:t>Unfamiliarity and rejection</w:t>
      </w:r>
    </w:p>
    <w:p>
      <w:r>
        <w:t>Variables: aware and opinion. Base: All eligible. Unaware, aware with no opinion, and would never choose stay distinct.</w:t>
      </w:r>
    </w:p>
    <w:p>
      <w:pPr>
        <w:pStyle w:val="Heading2"/>
      </w:pPr>
      <w:r>
        <w:t>Category moment size</w:t>
      </w:r>
    </w:p>
    <w:p>
      <w:r>
        <w:t>Variables: relevant_cXX. Base: All eligible. Multiple response stated relevance.</w:t>
      </w:r>
    </w:p>
    <w:p>
      <w:pPr>
        <w:pStyle w:val="Heading2"/>
      </w:pPr>
      <w:r>
        <w:t>Brand moment strength</w:t>
      </w:r>
    </w:p>
    <w:p>
      <w:r>
        <w:t>Variables: cep_links, mental flags. Base: All eligible and linked respondents separately. Average links among all, mental penetration, network size and share of tracked links have distinct bases.</w:t>
      </w:r>
    </w:p>
    <w:p>
      <w:pPr>
        <w:pStyle w:val="Heading2"/>
      </w:pPr>
      <w:r>
        <w:t>Moment by brand matrix</w:t>
      </w:r>
    </w:p>
    <w:p>
      <w:r>
        <w:t>Variables: cep_cXX_bYY. Base: All eligible or brand-aware explicitly. Do not change numerator when changing the denominator.</w:t>
      </w:r>
    </w:p>
    <w:p>
      <w:pPr>
        <w:pStyle w:val="Heading2"/>
      </w:pPr>
      <w:r>
        <w:t>Fingerprint</w:t>
      </w:r>
    </w:p>
    <w:p>
      <w:r>
        <w:t>Variables: CEP counts and row/column expected counts. Base: All eligible. Expected = row total × column total / total links; difference shown in pp, descriptive only.</w:t>
      </w:r>
    </w:p>
    <w:p>
      <w:r>
        <w:br w:type="page"/>
      </w:r>
    </w:p>
    <w:p>
      <w:pPr>
        <w:pStyle w:val="Heading1"/>
      </w:pPr>
      <w:r>
        <w:t>Chart construction continued</w:t>
      </w:r>
    </w:p>
    <w:p>
      <w:pPr>
        <w:pStyle w:val="Heading2"/>
      </w:pPr>
      <w:r>
        <w:t>Associations</w:t>
      </w:r>
    </w:p>
    <w:p>
      <w:r>
        <w:t>Variables: attr_aXX_bYY. Base: Brand-aware or all eligible explicitly. Pick-any associations, not agreement or rating means.</w:t>
      </w:r>
    </w:p>
    <w:p>
      <w:pPr>
        <w:pStyle w:val="Heading2"/>
      </w:pPr>
      <w:r>
        <w:t>Positioning</w:t>
      </w:r>
    </w:p>
    <w:p>
      <w:r>
        <w:t>Variables: Attribute by brand link table. Base: Consistent link counts. Correspondence analysis with axis inertia and disclosed normalisation.</w:t>
      </w:r>
    </w:p>
    <w:p>
      <w:pPr>
        <w:pStyle w:val="Heading2"/>
      </w:pPr>
      <w:r>
        <w:t>Advertising</w:t>
      </w:r>
    </w:p>
    <w:p>
      <w:r>
        <w:t>Variables: adprompt, adrecall. Base: All eligible or brand-aware explicitly. Four-week recall, not verified exposure.</w:t>
      </w:r>
    </w:p>
    <w:p>
      <w:pPr>
        <w:pStyle w:val="Heading2"/>
      </w:pPr>
      <w:r>
        <w:t>Word of mouth</w:t>
      </w:r>
    </w:p>
    <w:p>
      <w:r>
        <w:t>Variables: wom_bXX and awareness. Base: All eligible. Positive, negative, mixed, neutral, not heard, unaware.</w:t>
      </w:r>
    </w:p>
    <w:p>
      <w:pPr>
        <w:pStyle w:val="Heading2"/>
      </w:pPr>
      <w:r>
        <w:t>Category behaviour</w:t>
      </w:r>
    </w:p>
    <w:p>
      <w:r>
        <w:t>Variables: Repertoire, decision_style, start_channel, journey. Base: All eligible or recent starters. Single-response channel, MR research journey.</w:t>
      </w:r>
    </w:p>
    <w:p>
      <w:pPr>
        <w:pStyle w:val="Heading2"/>
      </w:pPr>
      <w:r>
        <w:t>Customer demographics</w:t>
      </w:r>
    </w:p>
    <w:p>
      <w:r>
        <w:t>Variables: Current or recent customer flag and demographics. Base: Each declared customer universe. Main customer and recent starter profiles must be separately labelled.</w:t>
      </w:r>
    </w:p>
    <w:p>
      <w:pPr>
        <w:pStyle w:val="Heading2"/>
      </w:pPr>
      <w:r>
        <w:t>Media</w:t>
      </w:r>
    </w:p>
    <w:p>
      <w:r>
        <w:t>Variables: media_mXX. Base: All eligible, main-provider users or recent starters. Seven-day personal use, not ad impact.</w:t>
      </w:r>
    </w:p>
    <w:p>
      <w:pPr>
        <w:pStyle w:val="Heading2"/>
      </w:pPr>
      <w:r>
        <w:t>Category extensions</w:t>
      </w:r>
    </w:p>
    <w:p>
      <w:r>
        <w:t>Variables: product_pXX, experience variables. Base: Eligible routed subset. Keep product holding, service/claim experience and event resolution distinct.</w:t>
      </w:r>
    </w:p>
    <w:p>
      <w:r>
        <w:br w:type="page"/>
      </w:r>
    </w:p>
    <w:p>
      <w:pPr>
        <w:pStyle w:val="Heading1"/>
        <w:keepNext/>
      </w:pPr>
      <w:r>
        <w:t>Extension measurement and chart specifications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6336"/>
        <w:gridCol w:w="2592"/>
      </w:tblGrid>
      <w:tr>
        <w:trPr>
          <w:tblHeader/>
          <w:cantSplit/>
        </w:trPr>
        <w:tc>
          <w:tcPr>
            <w:tcW w:type="dxa" w:w="1152"/>
            <w:vAlign w:val="center"/>
            <w:tcMar>
              <w:top w:w="80" w:type="dxa"/>
              <w:bottom w:w="80" w:type="dxa"/>
              <w:left w:w="100" w:type="dxa"/>
              <w:right w:w="100" w:type="dxa"/>
            </w:tcMar>
            <w:shd w:fill="E8EEF5"/>
          </w:tcPr>
          <w:p>
            <w:pPr>
              <w:spacing w:after="0" w:before="0" w:line="252" w:lineRule="auto"/>
            </w:pPr>
            <w:r>
              <w:rPr>
                <w:b/>
                <w:color w:val="000000"/>
                <w:sz w:val="20"/>
              </w:rPr>
              <w:t>Question</w:t>
            </w:r>
          </w:p>
        </w:tc>
        <w:tc>
          <w:tcPr>
            <w:tcW w:type="dxa" w:w="6336"/>
            <w:vAlign w:val="center"/>
            <w:tcMar>
              <w:top w:w="80" w:type="dxa"/>
              <w:bottom w:w="80" w:type="dxa"/>
              <w:left w:w="100" w:type="dxa"/>
              <w:right w:w="100" w:type="dxa"/>
            </w:tcMar>
            <w:shd w:fill="E8EEF5"/>
          </w:tcPr>
          <w:p>
            <w:pPr>
              <w:spacing w:after="0" w:before="0" w:line="252" w:lineRule="auto"/>
            </w:pPr>
            <w:r>
              <w:rPr>
                <w:b/>
                <w:color w:val="000000"/>
                <w:sz w:val="20"/>
              </w:rPr>
              <w:t>Added fields</w:t>
            </w:r>
          </w:p>
        </w:tc>
        <w:tc>
          <w:tcPr>
            <w:tcW w:type="dxa" w:w="2592"/>
            <w:vAlign w:val="center"/>
            <w:tcMar>
              <w:top w:w="80" w:type="dxa"/>
              <w:bottom w:w="80" w:type="dxa"/>
              <w:left w:w="100" w:type="dxa"/>
              <w:right w:w="100" w:type="dxa"/>
            </w:tcMar>
            <w:shd w:fill="E8EEF5"/>
          </w:tcPr>
          <w:p>
            <w:pPr>
              <w:spacing w:after="0" w:before="0" w:line="252" w:lineRule="auto"/>
            </w:pPr>
            <w:r>
              <w:rPr>
                <w:b/>
                <w:color w:val="000000"/>
                <w:sz w:val="20"/>
              </w:rPr>
              <w:t>Count and type</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E1</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needsfit_b01 to needsfit_b10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E2</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different_b01 to different_b10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E3</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pricejustify_b01 to pricejustify_b10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E4 route</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choice_episode_eligible</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 derived route</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E4 and E5</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choice_actual, choice_actual_other, choice_ideal, choice_ideal_other</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2 brand codes and 2 text fields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Derived</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choice_gap</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 paired episode flag</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E6</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choice_barrier_r01 to choice_barrier_r10, choice_barrier_none, choice_barrier_dk, choice_barrier_other</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MR flags, 2 exclusive flags and 1 text field</w:t>
            </w:r>
          </w:p>
        </w:tc>
      </w:tr>
    </w:tbl>
    <w:p>
      <w:pPr>
        <w:pStyle w:val="Heading2"/>
        <w:keepNext/>
      </w:pPr>
      <w:r>
        <w:t>Needs fit and meaningful differentiation</w:t>
      </w:r>
    </w:p>
    <w:p>
      <w:pPr/>
      <w:r>
        <w:t>Use needsfit_bXX and different_bXX independently. Each is asked only when aware_bXX=1, on a five-point agreement scale: 1 Strongly disagree; 2 Disagree; 3 Neither agree nor disagree; 4 Agree; 5 Strongly agree. Code 9 is Do not know enough to judge. Blank is not asked, not zero. Show the full valid 1–5 distribution, top-two-box percentage (4 or 5 divided by valid 1–5 ratings), optional labelled mean, and trends. Disclose aware, valid-rating and code-9 bases separately. Never substitute pick-any attribute counts.</w:t>
      </w:r>
    </w:p>
    <w:p>
      <w:pPr>
        <w:pStyle w:val="Heading2"/>
        <w:keepNext/>
      </w:pPr>
      <w:r>
        <w:t>Perceived price justification</w:t>
      </w:r>
    </w:p>
    <w:p>
      <w:pPr/>
      <w:r>
        <w:t>Use pricejustify_bXX with the same 1–5 agreement labels and awareness route. Wording compares whether the brand is worth its premiums for comparable cover relative to alternatives that meet similar needs. Code 9 is “Not familiar enough with its prices to judge”; exclude it from ratings, show it separately on the asked aware base, and never recode it as neutral. Keep this separate from good value for money and from actual expenditure, premium acceptance, willingness to pay, price elasticity or pricing power.</w:t>
      </w:r>
    </w:p>
    <w:p>
      <w:pPr>
        <w:pStyle w:val="Heading2"/>
        <w:keepNext/>
      </w:pPr>
      <w:r>
        <w:t>Same episode ideal and actual choice</w:t>
      </w:r>
    </w:p>
    <w:p>
      <w:pPr/>
      <w:r>
        <w:t>choice_episode_eligible=1 if last_acquired=1, otherwise 0. E4 actual and E5 ideal both refer to the most recent new or replacement personal motor or home insurance policy start in the past 12 months. The actual brand is newly captured, not inferred from current/main brand or any recent-event MR list. The ideal is recalled for the time of that same event before restrictions. Existing future first_choice and firstchoice_bXX remain unchanged.</w:t>
      </w:r>
    </w:p>
    <w:p>
      <w:pPr/>
      <w:r>
        <w:t>Actual and ideal use roster codes 1–10 and 96 Other named brand with conditional text; 99 is Cannot recall, and ideal additionally permits 98 No particular ideal brand at the time. Derive choice_gap only for two known identities: 0 same, 1 different. Normalise Other names by trimming, case-folding and collapsing whitespace, and resolve confirmed aliases to a common brand identity. Never equate two 96 codes without matching names. Leave unknown, missing, unresolved and no-ideal pairs out of the paired denominator; display their counts separately.</w:t>
      </w:r>
    </w:p>
    <w:p>
      <w:pPr/>
      <w:r>
        <w:t>Use exactly the same paired-known episode base to compare actual and ideal brand shares. For brand b, preference fulfilment is the weighted count with ideal=b and actual=b divided by the weighted count with ideal=b and known actual; label it fulfilment among that brand’s ideal preferrers, not market conversion. The overall gap rate is weighted choice_gap=1 divided by weighted valid choice_gap in {0,1}. Retain Other as named identities internally even if displayed as an aggregated Other bar.</w:t>
      </w:r>
    </w:p>
    <w:p>
      <w:pPr>
        <w:pStyle w:val="Heading2"/>
        <w:keepNext/>
      </w:pPr>
      <w:r>
        <w:t>Conditional reasons and interpretation</w:t>
      </w:r>
    </w:p>
    <w:p>
      <w:pPr/>
      <w:r>
        <w:t>Ask E6 only when choice_gap=1. The ten choice_barrier_rXX fields form an MR set with selected value 1, valid nonselection 0 and blank for unasked. choice_barrier_none and choice_barrier_dk are exclusive flags outside that set. choice_barrier_other is populated only when r10=1. Use the questionnaire’s exact category-specific labels. Each reason percentage uses all gap respondents with a completed E6 answer, including exclusive None and Cannot recall in the disclosed base; show those two states separately. Multiple reasons can sum above 100%. Report E6 nonresponse among eligible gaps separately, never as no constraint.</w:t>
      </w:r>
    </w:p>
    <w:p>
      <w:pPr/>
      <w:r>
        <w:t>For brand-specific reason charts, filter to ideal=b, known actual and choice_gap=1 before calculating the E6 denominator. These are self-reported reasons, not causal proof that practical restrictions rather than brand weakness explain a choice. Keep new information, familiar-provider preference and household influence distinct from price or access constraints. Do not combine the added constructs into a proprietary or Kantar-style score.</w:t>
      </w:r>
    </w:p>
    <w:p>
      <w:pPr>
        <w:pStyle w:val="Heading2"/>
        <w:keepNext/>
      </w:pPr>
      <w:r>
        <w:t>Extension display and validation</w:t>
      </w:r>
    </w:p>
    <w:p>
      <w:pPr/>
      <w:r>
        <w:t>Show raw n, weighted base and effective base; retain the existing small-base rules of flagging raw n&lt;50 and suppressing numeric inference below 30. Zero denominators display Not available, not 0%. Apply the same wave, brand, filter and weighting selections to new modules. Use the separate Claude dashboard extension guide for implementation: extend the current app, retain its fonts, layout, palette and existing quadrant/driver features, and add no mandatory JSON or manual-mapping step.</w:t>
      </w:r>
    </w:p>
    <w:p>
      <w:pPr/>
      <w:r>
        <w:t>Validation must cover the 49-field inventory, exact labels/codes, unaware blanks, code-9 handling, recent-episode route, resolved Other identity matches, mutually exclusive reason options, conditional text, unchanged original IDs/values, and all three waves. Reconcile new chart numerators and denominators independently of the UI; fixture checks are not evidence that the application itself has passed.</w:t>
      </w:r>
    </w:p>
    <w:p>
      <w:pPr>
        <w:pStyle w:val="Heading1"/>
      </w:pPr>
      <w:r>
        <w:t>Memory measures and uncertainty</w:t>
      </w:r>
    </w:p>
    <w:p>
      <w:r>
        <w:t>General unaided recall and CEP recall precede brand prompts. Image is a separate prompted pick-any battery. All 12 cues are asked so link counts are observed, not extrapolated. Let L_ib be the number of links from person i to brand b. Mental penetration is weighted share with L_ib&gt;0; network size is weighted mean L_ib among those with any link; average links among all is mental penetration as a share multiplied by network size. Mental market share is the share of tracked-brand links, excluding uncoded Other entities (Romaniuk, 2022).</w:t>
      </w:r>
    </w:p>
    <w:p>
      <w:r>
        <w:t>A weights-only approximation for a proportion is p ± 1.96 sqrt[p(1−p)/n_eff], bounded to [0,1]. This does not account for clustering, selection bias or a full survey design. For two independent waves, add their variance estimates for a descriptive difference check. Same-person brand responses need paired methods. No significance result or causal claim is certified in these fixtures. Apply multiplicity controls if many contrasts are explored.</w:t>
      </w:r>
    </w:p>
    <w:p>
      <w:r>
        <w:t>Correspondence analysis uses weighted attribute–brand link counts, standardises departures from row/column independence and decomposes them by SVD. Principal coordinates and explained inertia are supplied. Axis signs are arbitrary and fixed toward the focal brand for reproducibility. Fingerprint expected counts=row total × column total / total links. The residual in pp is descriptive, not a p-value.</w:t>
      </w:r>
    </w:p>
    <w:p>
      <w:pPr>
        <w:pStyle w:val="Heading1"/>
      </w:pPr>
      <w:r>
        <w:t>Simulation and verification</w:t>
      </w:r>
    </w:p>
    <w:p>
      <w:r>
        <w:t>All profiles and trends are planted demonstration assumptions. Focal-brand consideration and selected memory/image links generally strengthen, the final competitor grows in awareness and recall, and the second listed brand receives a less favourable WOM mix. No real campaign, scandal or provider performance is asserted. validate_pack.py independently reopens exported workbooks, checks schema/codes/routes, recalculates core metrics and compares reference workbook and JSON. Display tolerance: 0.05pp for one-decimal percentages; stored references: 0.000001pp. Codes and IDs require exact equality.</w:t>
      </w:r>
    </w:p>
    <w:p>
      <w:pPr>
        <w:pStyle w:val="Heading1"/>
      </w:pPr>
      <w:r>
        <w:t>References</w:t>
      </w:r>
    </w:p>
    <w:p>
      <w:pPr>
        <w:ind w:left="360" w:hanging="360"/>
      </w:pPr>
      <w:r>
        <w:t xml:space="preserve">Romaniuk, J. (2022). </w:t>
      </w:r>
      <w:r>
        <w:rPr>
          <w:i/>
        </w:rPr>
        <w:t>Category entry points in a business-to-business (B2B) world.</w:t>
      </w:r>
      <w:r>
        <w:t xml:space="preserve"> Ehrenberg-Bass Institute for Marketing Science. https://marketingscience.info/news-and-insights/category-entry-points-in-a-business-to-business-b2b-world</w:t>
      </w:r>
    </w:p>
    <w:p>
      <w:pPr>
        <w:ind w:left="360" w:hanging="360"/>
      </w:pPr>
      <w:r>
        <w:t xml:space="preserve">Ehrenberg-Bass Institute for Marketing Science. (n.d.). </w:t>
      </w:r>
      <w:r>
        <w:rPr>
          <w:i/>
        </w:rPr>
        <w:t>Identifying and prioritising category entry points.</w:t>
      </w:r>
      <w:r>
        <w:t xml:space="preserve">  https://marketingscience.info/learn-with-us/commercial-research/identifying-and-prioritising-category-entry-points</w:t>
      </w:r>
    </w:p>
    <w:p>
      <w:pPr>
        <w:ind w:left="360" w:hanging="360"/>
      </w:pPr>
      <w:r>
        <w:t xml:space="preserve">Timelaps. (n.d.). </w:t>
      </w:r>
      <w:r>
        <w:rPr>
          <w:i/>
        </w:rPr>
        <w:t>Timelaps report [Interactive demonstration].</w:t>
      </w:r>
      <w:r>
        <w:t xml:space="preserve">  https://demo.timelaps.io/home</w:t>
      </w:r>
    </w:p>
    <w:p>
      <w:pPr>
        <w:ind w:left="360" w:hanging="360"/>
      </w:pPr>
      <w:r>
        <w:t xml:space="preserve">Santam. (n.d.). </w:t>
      </w:r>
      <w:r>
        <w:rPr>
          <w:i/>
        </w:rPr>
        <w:t>Santam personal insurance.</w:t>
      </w:r>
      <w:r>
        <w:t xml:space="preserve">  https://www.santam.co.za/media/stwdzbkx/ppt-16115_pl-brochures-updated_digital-interactive_v5.pdf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South African brand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024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4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0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