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 dashboard extension implementation guide</w:t>
      </w:r>
    </w:p>
    <w:p>
      <w:pPr/>
      <w:r>
        <w:t>Written instructions for Claude | Banking insurance mobile telecoms and cars | 30 October 2026</w:t>
      </w:r>
    </w:p>
    <w:p>
      <w:pPr/>
      <w:r>
        <w:t>Extend the existing brand dashboard with direct needs-fit and differentiation ratings, same-episode ideal versus actual choice, and perceived price justification. Preserve the current application and all working analyses. This is an additive implementation brief, not a request to rebuild the dashboard or replace its research framework.</w:t>
      </w:r>
    </w:p>
    <w:p>
      <w:pPr>
        <w:pStyle w:val="Heading1"/>
        <w:keepNext/>
      </w:pPr>
      <w:r>
        <w:t>Preserve the current dashboard</w:t>
      </w:r>
    </w:p>
    <w:p>
      <w:pPr/>
      <w:r>
        <w:t>Keep the same fonts, layout, spacing, colours, chart styling and blue accent #2563eb. Retain the existing funnel, awareness, mental-availability, associations, quadrant, driver-analysis, positioning, advertising, word-of-mouth and profiling features. Do not silently change their formulas or labels. Add the new views within the current navigation and filtering patterns.</w:t>
      </w:r>
    </w:p>
    <w:p>
      <w:pPr/>
      <w:r>
        <w:t>Provide a collapsible Variables selector on the left. Users must be able to inspect and choose detected constructs and brand items without losing the current dashboard context. Keep import, wave, demographic and weighting controls consistent with existing behaviour.</w:t>
      </w:r>
    </w:p>
    <w:p>
      <w:pPr>
        <w:pStyle w:val="Heading1"/>
        <w:keepNext/>
      </w:pPr>
      <w:r>
        <w:t>Three additions without a composite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tblHeader/>
          <w:cantSplit/>
        </w:trPr>
        <w:tc>
          <w:tcPr>
            <w:tcW w:type="dxa" w:w="3240"/>
            <w:vAlign w:val="center"/>
            <w:tcMar>
              <w:top w:w="80" w:type="dxa"/>
              <w:bottom w:w="80" w:type="dxa"/>
              <w:left w:w="100" w:type="dxa"/>
              <w:right w:w="100" w:type="dxa"/>
            </w:tcMar>
            <w:shd w:fill="E8EEF5"/>
          </w:tcPr>
          <w:p>
            <w:pPr>
              <w:spacing w:after="0" w:before="0" w:line="252" w:lineRule="auto"/>
            </w:pPr>
            <w:r>
              <w:rPr>
                <w:b/>
                <w:color w:val="000000"/>
                <w:sz w:val="20"/>
              </w:rPr>
              <w:t>Addition</w:t>
            </w:r>
          </w:p>
        </w:tc>
        <w:tc>
          <w:tcPr>
            <w:tcW w:type="dxa" w:w="6840"/>
            <w:vAlign w:val="center"/>
            <w:tcMar>
              <w:top w:w="80" w:type="dxa"/>
              <w:bottom w:w="80" w:type="dxa"/>
              <w:left w:w="100" w:type="dxa"/>
              <w:right w:w="100" w:type="dxa"/>
            </w:tcMar>
            <w:shd w:fill="E8EEF5"/>
          </w:tcPr>
          <w:p>
            <w:pPr>
              <w:spacing w:after="0" w:before="0" w:line="252" w:lineRule="auto"/>
            </w:pPr>
            <w:r>
              <w:rPr>
                <w:b/>
                <w:color w:val="000000"/>
                <w:sz w:val="20"/>
              </w:rPr>
              <w:t>What to show</w:t>
            </w:r>
          </w:p>
        </w:tc>
      </w:tr>
      <w:tr>
        <w:trPr>
          <w:cantSplit/>
        </w:trPr>
        <w:tc>
          <w:tcPr>
            <w:tcW w:type="dxa" w:w="3240"/>
            <w:vAlign w:val="center"/>
            <w:tcMar>
              <w:top w:w="80" w:type="dxa"/>
              <w:bottom w:w="80" w:type="dxa"/>
              <w:left w:w="100" w:type="dxa"/>
              <w:right w:w="100" w:type="dxa"/>
            </w:tcMar>
          </w:tcPr>
          <w:p>
            <w:pPr>
              <w:spacing w:after="0" w:before="0" w:line="252" w:lineRule="auto"/>
            </w:pPr>
            <w:r>
              <w:rPr>
                <w:b w:val="0"/>
                <w:color w:val="000000"/>
                <w:sz w:val="20"/>
              </w:rPr>
              <w:t>Needs fit and differentiation</w:t>
            </w:r>
          </w:p>
        </w:tc>
        <w:tc>
          <w:tcPr>
            <w:tcW w:type="dxa" w:w="6840"/>
            <w:vAlign w:val="center"/>
            <w:tcMar>
              <w:top w:w="80" w:type="dxa"/>
              <w:bottom w:w="80" w:type="dxa"/>
              <w:left w:w="100" w:type="dxa"/>
              <w:right w:w="100" w:type="dxa"/>
            </w:tcMar>
          </w:tcPr>
          <w:p>
            <w:pPr>
              <w:spacing w:after="0" w:before="0" w:line="252" w:lineRule="auto"/>
            </w:pPr>
            <w:r>
              <w:rPr>
                <w:b w:val="0"/>
                <w:color w:val="000000"/>
                <w:sz w:val="20"/>
              </w:rPr>
              <w:t>Separate five-point rating distributions, top-two-box percentages and wave trends.</w:t>
            </w:r>
          </w:p>
        </w:tc>
      </w:tr>
      <w:tr>
        <w:trPr>
          <w:cantSplit/>
        </w:trPr>
        <w:tc>
          <w:tcPr>
            <w:tcW w:type="dxa" w:w="3240"/>
            <w:vAlign w:val="center"/>
            <w:tcMar>
              <w:top w:w="80" w:type="dxa"/>
              <w:bottom w:w="80" w:type="dxa"/>
              <w:left w:w="100" w:type="dxa"/>
              <w:right w:w="100" w:type="dxa"/>
            </w:tcMar>
          </w:tcPr>
          <w:p>
            <w:pPr>
              <w:spacing w:after="0" w:before="0" w:line="252" w:lineRule="auto"/>
            </w:pPr>
            <w:r>
              <w:rPr>
                <w:b w:val="0"/>
                <w:color w:val="000000"/>
                <w:sz w:val="20"/>
              </w:rPr>
              <w:t>Ideal versus actual choice</w:t>
            </w:r>
          </w:p>
        </w:tc>
        <w:tc>
          <w:tcPr>
            <w:tcW w:type="dxa" w:w="6840"/>
            <w:vAlign w:val="center"/>
            <w:tcMar>
              <w:top w:w="80" w:type="dxa"/>
              <w:bottom w:w="80" w:type="dxa"/>
              <w:left w:w="100" w:type="dxa"/>
              <w:right w:w="100" w:type="dxa"/>
            </w:tcMar>
          </w:tcPr>
          <w:p>
            <w:pPr>
              <w:spacing w:after="0" w:before="0" w:line="252" w:lineRule="auto"/>
            </w:pPr>
            <w:r>
              <w:rPr>
                <w:b w:val="0"/>
                <w:color w:val="000000"/>
                <w:sz w:val="20"/>
              </w:rPr>
              <w:t>Matched same-episode brand shares, preference fulfilment, gap and conditional reported reasons.</w:t>
            </w:r>
          </w:p>
        </w:tc>
      </w:tr>
      <w:tr>
        <w:trPr>
          <w:cantSplit/>
        </w:trPr>
        <w:tc>
          <w:tcPr>
            <w:tcW w:type="dxa" w:w="3240"/>
            <w:vAlign w:val="center"/>
            <w:tcMar>
              <w:top w:w="80" w:type="dxa"/>
              <w:bottom w:w="80" w:type="dxa"/>
              <w:left w:w="100" w:type="dxa"/>
              <w:right w:w="100" w:type="dxa"/>
            </w:tcMar>
          </w:tcPr>
          <w:p>
            <w:pPr>
              <w:spacing w:after="0" w:before="0" w:line="252" w:lineRule="auto"/>
            </w:pPr>
            <w:r>
              <w:rPr>
                <w:b w:val="0"/>
                <w:color w:val="000000"/>
                <w:sz w:val="20"/>
              </w:rPr>
              <w:t>Perceived price justification</w:t>
            </w:r>
          </w:p>
        </w:tc>
        <w:tc>
          <w:tcPr>
            <w:tcW w:type="dxa" w:w="6840"/>
            <w:vAlign w:val="center"/>
            <w:tcMar>
              <w:top w:w="80" w:type="dxa"/>
              <w:bottom w:w="80" w:type="dxa"/>
              <w:left w:w="100" w:type="dxa"/>
              <w:right w:w="100" w:type="dxa"/>
            </w:tcMar>
          </w:tcPr>
          <w:p>
            <w:pPr>
              <w:spacing w:after="0" w:before="0" w:line="252" w:lineRule="auto"/>
            </w:pPr>
            <w:r>
              <w:rPr>
                <w:b w:val="0"/>
                <w:color w:val="000000"/>
                <w:sz w:val="20"/>
              </w:rPr>
              <w:t>Separate ratings of whether the brand is worth its price relative to comparable alternatives.</w:t>
            </w:r>
          </w:p>
        </w:tc>
      </w:tr>
    </w:tbl>
    <w:p>
      <w:pPr>
        <w:spacing w:before="120"/>
      </w:pPr>
      <w:r>
        <w:t>These are generic, transparent constructs. Do not introduce Kantar, Meaningful Different Salient or other proprietary scores, norms, certification, brand power or a fabricated combined equity index. Existing generic association measures remain available and do not become proxies for these new questions.</w:t>
      </w:r>
    </w:p>
    <w:p>
      <w:pPr/>
      <w:r>
        <w:t>Use the supplied brief, questionnaire and labelled workbooks as the research specification. The car pack’s existing visual-plan PDF remains unchanged; this extension guide takes precedence only for these new modules. The guide is written instruction only: it does not itself edit the app or authorise contacting Claude or another person.</w:t>
      </w:r>
    </w:p>
    <w:p>
      <w:pPr>
        <w:pStyle w:val="Heading1"/>
        <w:keepNext/>
        <w:pageBreakBefore/>
      </w:pPr>
      <w:r>
        <w:t>Detect measurements from the uploaded research</w:t>
      </w:r>
    </w:p>
    <w:p>
      <w:pPr/>
      <w:r>
        <w:t>Support a normal researcher workflow: upload labelled Excel data, or CSV data with its accompanying codebook and questionnaire. Auto-detect constructs from variable labels, question wording, response labels, MR-set metadata, brand identity and routing. Variable names are useful hints, not a required universal schema. Do not require a custom JSON file, hand-written mapping or reference-result file.</w:t>
      </w:r>
    </w:p>
    <w:p>
      <w:pPr/>
      <w:r>
        <w:t>First identify repeated brand-item families and their question types. Distinguish five-point ordinal agreement from binary pick-any associations, even when both include words such as needs, different or value. Category-situation relevance (relevant_cXX) is not brand personal needs fit (needsfit_bXX). Verify endpoints, unknown codes and awareness routes before enabling a rating view. Link brand identities using the codebook, not the column position or sponsor assumption.</w:t>
      </w:r>
    </w:p>
    <w:p>
      <w:pPr/>
      <w:r>
        <w:t>Detect the episode pair only when wording establishes actual choice and retrospective ideal preference for the same category event and time window. Future first choice, current main provider, ownership and a multiple-response recent-start list are not substitutes. Detect reasons using their MR set and gap route, not the word barrier alone.</w:t>
      </w:r>
    </w:p>
    <w:p>
      <w:pPr/>
      <w:r>
        <w:t>Show the detected question, source fields, value labels, universe and denominator in an inspectable details panel. If detection is ambiguous, mark it Needs review and request a targeted confirmation instead of inventing a mapping. Confirmation is an exception for ambiguity, not a mandatory setup screen. Persist any confirmed mapping with provenance.</w:t>
      </w:r>
    </w:p>
    <w:p>
      <w:pPr>
        <w:pStyle w:val="Heading2"/>
        <w:keepNext/>
      </w:pPr>
      <w:r>
        <w:t>Missing measures and special codes</w:t>
      </w:r>
    </w:p>
    <w:p>
      <w:pPr/>
      <w:r>
        <w:t>When a construct is absent, display Not measured and identify the missing measurement. Do not fabricate a metric from a related attribute or zero-fill it. Distinguish a missing construct from Not available for a measured metric with no valid denominator. Respect question-specific code meanings; never globally treat code 9 or 99 as missing.</w:t>
      </w:r>
    </w:p>
    <w:p>
      <w:pPr>
        <w:pStyle w:val="Heading2"/>
        <w:keepNext/>
      </w:pPr>
      <w:r>
        <w:t>Reference field families in these packs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336"/>
        <w:gridCol w:w="2592"/>
      </w:tblGrid>
      <w:tr>
        <w:trPr>
          <w:tblHeader/>
          <w:cantSplit/>
        </w:trPr>
        <w:tc>
          <w:tcPr>
            <w:tcW w:type="dxa" w:w="1152"/>
            <w:vAlign w:val="center"/>
            <w:tcMar>
              <w:top w:w="80" w:type="dxa"/>
              <w:bottom w:w="80" w:type="dxa"/>
              <w:left w:w="100" w:type="dxa"/>
              <w:right w:w="100" w:type="dxa"/>
            </w:tcMar>
            <w:shd w:fill="E8EEF5"/>
          </w:tcPr>
          <w:p>
            <w:pPr>
              <w:spacing w:after="0" w:before="0" w:line="252" w:lineRule="auto"/>
            </w:pPr>
            <w:r>
              <w:rPr>
                <w:b/>
                <w:color w:val="000000"/>
                <w:sz w:val="20"/>
              </w:rPr>
              <w:t>Question</w:t>
            </w:r>
          </w:p>
        </w:tc>
        <w:tc>
          <w:tcPr>
            <w:tcW w:type="dxa" w:w="6336"/>
            <w:vAlign w:val="center"/>
            <w:tcMar>
              <w:top w:w="80" w:type="dxa"/>
              <w:bottom w:w="80" w:type="dxa"/>
              <w:left w:w="100" w:type="dxa"/>
              <w:right w:w="100" w:type="dxa"/>
            </w:tcMar>
            <w:shd w:fill="E8EEF5"/>
          </w:tcPr>
          <w:p>
            <w:pPr>
              <w:spacing w:after="0" w:before="0" w:line="252" w:lineRule="auto"/>
            </w:pPr>
            <w:r>
              <w:rPr>
                <w:b/>
                <w:color w:val="000000"/>
                <w:sz w:val="20"/>
              </w:rPr>
              <w:t>Fields</w:t>
            </w:r>
          </w:p>
        </w:tc>
        <w:tc>
          <w:tcPr>
            <w:tcW w:type="dxa" w:w="2592"/>
            <w:vAlign w:val="center"/>
            <w:tcMar>
              <w:top w:w="80" w:type="dxa"/>
              <w:bottom w:w="80" w:type="dxa"/>
              <w:left w:w="100" w:type="dxa"/>
              <w:right w:w="100" w:type="dxa"/>
            </w:tcMar>
            <w:shd w:fill="E8EEF5"/>
          </w:tcPr>
          <w:p>
            <w:pPr>
              <w:spacing w:after="0" w:before="0" w:line="252" w:lineRule="auto"/>
            </w:pPr>
            <w:r>
              <w:rPr>
                <w:b/>
                <w:color w:val="000000"/>
                <w:sz w:val="20"/>
              </w:rPr>
              <w:t>Inventory</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E1</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needsfit_b01 to needsfit_b10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E2</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different_b01 to different_b10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E3</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pricejustify_b01 to pricejustify_b10</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brand ratings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E4 route</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choice_episode_eligible</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 derived route</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E4 and E5</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choice_actual, choice_actual_other, choice_ideal, choice_ideal_other</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2 brand codes and 2 text fields</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Derived</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choice_gap</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 paired episode flag</w:t>
            </w:r>
          </w:p>
        </w:tc>
      </w:tr>
      <w:tr>
        <w:trPr>
          <w:cantSplit/>
        </w:trPr>
        <w:tc>
          <w:tcPr>
            <w:tcW w:type="dxa" w:w="1152"/>
            <w:vAlign w:val="center"/>
            <w:tcMar>
              <w:top w:w="80" w:type="dxa"/>
              <w:bottom w:w="80" w:type="dxa"/>
              <w:left w:w="100" w:type="dxa"/>
              <w:right w:w="100" w:type="dxa"/>
            </w:tcMar>
          </w:tcPr>
          <w:p>
            <w:pPr>
              <w:spacing w:after="0" w:before="0" w:line="252" w:lineRule="auto"/>
            </w:pPr>
            <w:r>
              <w:rPr>
                <w:b w:val="0"/>
                <w:color w:val="000000"/>
                <w:sz w:val="20"/>
              </w:rPr>
              <w:t>E6</w:t>
            </w:r>
          </w:p>
        </w:tc>
        <w:tc>
          <w:tcPr>
            <w:tcW w:type="dxa" w:w="6336"/>
            <w:vAlign w:val="center"/>
            <w:tcMar>
              <w:top w:w="80" w:type="dxa"/>
              <w:bottom w:w="80" w:type="dxa"/>
              <w:left w:w="100" w:type="dxa"/>
              <w:right w:w="100" w:type="dxa"/>
            </w:tcMar>
          </w:tcPr>
          <w:p>
            <w:pPr>
              <w:spacing w:after="0" w:before="0" w:line="252" w:lineRule="auto"/>
            </w:pPr>
            <w:r>
              <w:rPr>
                <w:b w:val="0"/>
                <w:color w:val="000000"/>
                <w:sz w:val="20"/>
              </w:rPr>
              <w:t>choice_barrier_r01 to choice_barrier_r10, choice_barrier_none, choice_barrier_dk, choice_barrier_other</w:t>
            </w:r>
          </w:p>
        </w:tc>
        <w:tc>
          <w:tcPr>
            <w:tcW w:type="dxa" w:w="2592"/>
            <w:vAlign w:val="center"/>
            <w:tcMar>
              <w:top w:w="80" w:type="dxa"/>
              <w:bottom w:w="80" w:type="dxa"/>
              <w:left w:w="100" w:type="dxa"/>
              <w:right w:w="100" w:type="dxa"/>
            </w:tcMar>
          </w:tcPr>
          <w:p>
            <w:pPr>
              <w:spacing w:after="0" w:before="0" w:line="252" w:lineRule="auto"/>
            </w:pPr>
            <w:r>
              <w:rPr>
                <w:b w:val="0"/>
                <w:color w:val="000000"/>
                <w:sz w:val="20"/>
              </w:rPr>
              <w:t>10 MR flags, 2 exclusive flags and 1 text field</w:t>
            </w:r>
          </w:p>
        </w:tc>
      </w:tr>
    </w:tbl>
    <w:p>
      <w:pPr>
        <w:spacing w:before="120"/>
      </w:pPr>
      <w:r>
        <w:t>Exactly 49 new columns per wave. Total columns: banking 550; insurance 550; telecoms 551; cars 543. Each category has three independent waves of 1,000 synthetic cases. Preserve all original variables, IDs and values; new fixture responses are not collected market evidence.</w:t>
      </w:r>
    </w:p>
    <w:p>
      <w:pPr>
        <w:pStyle w:val="Heading1"/>
        <w:keepNext/>
        <w:pageBreakBefore/>
      </w:pPr>
      <w:r>
        <w:t>Needs fit differentiation and price justification</w:t>
      </w:r>
    </w:p>
    <w:p>
      <w:pPr/>
      <w:r>
        <w:t>Build independent modules for E1 needsfit_bXX, E2 different_bXX and E3 pricejustify_bXX. Do not average them into one score. The questions occur after the existing association tasks and only for recognised brands, where aware_bXX=1. Retain the original unaided sequence and the existing future first-choice metric.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tblHeader/>
          <w:cantSplit/>
        </w:trPr>
        <w:tc>
          <w:tcPr>
            <w:tcW w:type="dxa" w:w="2088"/>
            <w:vAlign w:val="center"/>
            <w:tcMar>
              <w:top w:w="80" w:type="dxa"/>
              <w:bottom w:w="80" w:type="dxa"/>
              <w:left w:w="100" w:type="dxa"/>
              <w:right w:w="100" w:type="dxa"/>
            </w:tcMar>
            <w:shd w:fill="E8EEF5"/>
          </w:tcPr>
          <w:p>
            <w:pPr>
              <w:spacing w:after="0" w:before="0" w:line="252" w:lineRule="auto"/>
            </w:pPr>
            <w:r>
              <w:rPr>
                <w:b/>
                <w:color w:val="000000"/>
                <w:sz w:val="20"/>
              </w:rPr>
              <w:t>Code</w:t>
            </w:r>
          </w:p>
        </w:tc>
        <w:tc>
          <w:tcPr>
            <w:tcW w:type="dxa" w:w="7992"/>
            <w:vAlign w:val="center"/>
            <w:tcMar>
              <w:top w:w="80" w:type="dxa"/>
              <w:bottom w:w="80" w:type="dxa"/>
              <w:left w:w="100" w:type="dxa"/>
              <w:right w:w="100" w:type="dxa"/>
            </w:tcMar>
            <w:shd w:fill="E8EEF5"/>
          </w:tcPr>
          <w:p>
            <w:pPr>
              <w:spacing w:after="0" w:before="0" w:line="252" w:lineRule="auto"/>
            </w:pPr>
            <w:r>
              <w:rPr>
                <w:b/>
                <w:color w:val="000000"/>
                <w:sz w:val="20"/>
              </w:rPr>
              <w:t>Response label</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1</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Strongly disagree</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2</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Disagree</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3</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Neither agree nor disagree</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4</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Agree</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5</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Strongly agree</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9 for E1 and E2</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Do not know enough to judge</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9 for E3</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Not familiar enough with its prices to judge</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Blank</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Not asked or structurally unavailable; never a rating of zero</w:t>
            </w:r>
          </w:p>
        </w:tc>
      </w:tr>
    </w:tbl>
    <w:p>
      <w:pPr>
        <w:pStyle w:val="Heading2"/>
        <w:keepNext/>
      </w:pPr>
      <w:r>
        <w:t>Calculations and visible bases</w:t>
      </w:r>
    </w:p>
    <w:p>
      <w:pPr/>
      <w:r>
        <w:t>For each brand, wave and active filter, define valid ratings as values 1–5 among respondents asked the item. Rating distributions use that valid-rating base. Top-two-box is the weighted count of ratings 4 or 5 divided by the weighted count of ratings 1–5, multiplied by 100. If a mean is offered, label the five-point scale and keep the distribution visible.</w:t>
      </w:r>
    </w:p>
    <w:p>
      <w:pPr/>
      <w:r>
        <w:t>Show the aware/asked raw base, valid-rating raw and weighted bases, and the cannot-judge share separately. Calculate the code-9 share on the asked aware base, not on the valid-rating base. Show any unexpected missing answer among asked cases as missing, distinct from structurally unasked; do not silently enlarge the valid denominator.</w:t>
      </w:r>
    </w:p>
    <w:p>
      <w:pPr/>
      <w:r>
        <w:t>Provide brand comparisons and trends using the same wording, coding and filters across waves. Wave samples are independent. Within-wave brand comparisons use repeated answers from the same people and are not independent samples. Keep existing uncertainty and multiple-comparison safeguards; do not label every small difference as a finding.</w:t>
      </w:r>
    </w:p>
    <w:p>
      <w:pPr>
        <w:pStyle w:val="Heading2"/>
        <w:keepNext/>
      </w:pPr>
      <w:r>
        <w:t>Interpretation boundaries</w:t>
      </w:r>
    </w:p>
    <w:p>
      <w:pPr/>
      <w:r>
        <w:t>Needs fit asks whether the brand meets personal category needs; differentiation asks whether it offers something meaningfully different. Neither is proved by generic image associations alone. Price justification asks about worth relative to alternatives meeting similar needs. Good value for money remains a distinct pick-any association and is not substituted.</w:t>
      </w:r>
    </w:p>
    <w:p>
      <w:pPr/>
      <w:r>
        <w:t>These ratings do not establish actual pricing power, willingness to pay a premium, price elasticity, expenditure or causal effects on choice. Do not rename price justification as premium acceptance or use it to forecast a viable price increase. Label all supplied results synthetic demonstration data.</w:t>
      </w:r>
    </w:p>
    <w:p>
      <w:pPr>
        <w:pStyle w:val="Heading1"/>
        <w:keepNext/>
        <w:pageBreakBefore/>
      </w:pPr>
      <w:r>
        <w:t>Match ideal and actual choice within one episode</w:t>
      </w:r>
    </w:p>
    <w:p>
      <w:pPr/>
      <w:r>
        <w:t>Derive choice_episode_eligible=1 when last_acquired=1, otherwise 0. Use the most recent event in the category window if multiple events occurred. E4 records a newly captured actual brand; E5 recalls the ideal brand at the time of that same event before practical restrictions. Never replace either with current/main brand or future first choice.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tblHeader/>
          <w:cantSplit/>
        </w:trPr>
        <w:tc>
          <w:tcPr>
            <w:tcW w:type="dxa" w:w="2088"/>
            <w:vAlign w:val="center"/>
            <w:tcMar>
              <w:top w:w="80" w:type="dxa"/>
              <w:bottom w:w="80" w:type="dxa"/>
              <w:left w:w="100" w:type="dxa"/>
              <w:right w:w="100" w:type="dxa"/>
            </w:tcMar>
            <w:shd w:fill="E8EEF5"/>
          </w:tcPr>
          <w:p>
            <w:pPr>
              <w:spacing w:after="0" w:before="0" w:line="252" w:lineRule="auto"/>
            </w:pPr>
            <w:r>
              <w:rPr>
                <w:b/>
                <w:color w:val="000000"/>
                <w:sz w:val="20"/>
              </w:rPr>
              <w:t>Category</w:t>
            </w:r>
          </w:p>
        </w:tc>
        <w:tc>
          <w:tcPr>
            <w:tcW w:type="dxa" w:w="7992"/>
            <w:vAlign w:val="center"/>
            <w:tcMar>
              <w:top w:w="80" w:type="dxa"/>
              <w:bottom w:w="80" w:type="dxa"/>
              <w:left w:w="100" w:type="dxa"/>
              <w:right w:w="100" w:type="dxa"/>
            </w:tcMar>
            <w:shd w:fill="E8EEF5"/>
          </w:tcPr>
          <w:p>
            <w:pPr>
              <w:spacing w:after="0" w:before="0" w:line="252" w:lineRule="auto"/>
            </w:pPr>
            <w:r>
              <w:rPr>
                <w:b/>
                <w:color w:val="000000"/>
                <w:sz w:val="20"/>
              </w:rPr>
              <w:t>Exact episode window</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Banking</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Most recent personal bank account opening in the past 12 months.</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Insurance</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Most recent new or replacement personal motor or home policy start in the past 12 months; not a renewal alone.</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Mobile telecoms</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Most recent new SIM or eSIM connection activation in the past 90 days; not a top-up or bundle purchase.</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Cars</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Most recent household passenger vehicle purchase or lease in the past 12 months, including new and used vehicles.</w:t>
            </w:r>
          </w:p>
        </w:tc>
      </w:tr>
    </w:tbl>
    <w:p>
      <w:pPr>
        <w:spacing w:before="120"/>
      </w:pPr>
      <w:r>
        <w:t>Both items use brand codes 1–10, 96 Other named brand with conditional name text, and 99 Cannot recall. Ideal additionally permits 98 No particular ideal brand at the time. Leave episode items blank outside the route. Display no episode, no particular ideal, cannot recall and unresolved Other names as separate statuses.</w:t>
      </w:r>
    </w:p>
    <w:p>
      <w:pPr>
        <w:pStyle w:val="Heading2"/>
        <w:keepNext/>
      </w:pPr>
      <w:r>
        <w:t>Identity resolution and gap</w:t>
      </w:r>
    </w:p>
    <w:p>
      <w:pPr/>
      <w:r>
        <w:t>Resolve brand identities before comparison. For Other text, trim, case-fold and collapse repeated whitespace; use confirmed aliases when mapping spelling variants or a typed tracked brand. Retain the original verbatim. Do not equate two Other codes unless their resolved names match. If identity cannot be resolved confidently, leave the pair unresolved.</w:t>
      </w:r>
    </w:p>
    <w:p>
      <w:pPr/>
      <w:r>
        <w:t>For two known named brands, choice_gap=0 if the identities match and 1 if they differ. Leave the gap blank when ideal is 98, either item is 99, a required Other name is absent, or the episode is unasked. Compute the overall gap percentage among valid gap values 0 or 1 only. Do not treat unknowns as a match or a gap.</w:t>
      </w:r>
    </w:p>
    <w:p>
      <w:pPr>
        <w:pStyle w:val="Heading2"/>
        <w:keepNext/>
      </w:pPr>
      <w:r>
        <w:t>Paired shares and preference fulfilment</w:t>
      </w:r>
    </w:p>
    <w:p>
      <w:pPr/>
      <w:r>
        <w:t>Compare ideal brand share and actual brand share using the identical paired-known episode denominator, retaining resolved Other brands in that base and a visible Other category where present. Codes 98 and 99 are separate statuses, not brands. Show paired-base exclusions beside the chart. An ideal-minus-actual share difference is a descriptive net share gap, not the count of people who failed to obtain a preference; inflows and outflows can offset.</w:t>
      </w:r>
    </w:p>
    <w:p>
      <w:pPr/>
      <w:r>
        <w:t>For each brand, preference fulfilment equals the weighted count with ideal=brand and actual=brand divided by the weighted count with ideal=brand and known actual, multiplied by 100. Display the ideal-preferrer base. A transition table may show where those preferrers actually went. Preserve named Other identity internally even when its display category is aggregated.</w:t>
      </w:r>
    </w:p>
    <w:p>
      <w:pPr>
        <w:pStyle w:val="Heading1"/>
        <w:keepNext/>
        <w:pageBreakBefore/>
      </w:pPr>
      <w:r>
        <w:t>Explain reported gaps without claiming causality</w:t>
      </w:r>
    </w:p>
    <w:p>
      <w:pPr/>
      <w:r>
        <w:t>Show E6 only for choice_gap=1. The questionnaire supplies ten category-specific reasons as choice_barrier_r01 through choice_barrier_r10. Preserve their exact labels and order metadata; do not turn the four categories into an inaccurate universal reason list.</w:t>
      </w:r>
    </w:p>
    <w:p>
      <w:pPr/>
      <w:r>
        <w:t>A selected reason is 1 and a valid nonselection is 0. Outside the route, all reason fields remain blank. Another reason is r10; choice_barrier_other is populated only when r10=1. No reason or practical constraint to report and Cannot recall have separate exclusive flags, choice_barrier_none and choice_barrier_dk, outside the substantive MR set. Neither may coexist with a selected reason or the other exclusive option.</w:t>
      </w:r>
    </w:p>
    <w:p>
      <w:pPr/>
      <w:r>
        <w:t>For each reason, divide weighted selections by the weighted number of eligible gap respondents with a completed E6 response. This denominator includes respondents choosing an exclusive option; display both exclusive shares separately. Also show eligible-gap, completed-E6 and missing-E6 raw bases. Never interpret an all-blank reason row as no barrier. MR percentages may exceed 100% in total.</w:t>
      </w:r>
    </w:p>
    <w:p>
      <w:pPr/>
      <w:r>
        <w:t>For brand-specific reasons, first filter to people who ideally preferred that brand, have a known actual choice and have a gap. Use that filtered completed-E6 base. Keep the difference between a brand’s ideal preferrers and its actual buyers explicit throughout the controls and captions.</w:t>
      </w:r>
    </w:p>
    <w:p>
      <w:pPr>
        <w:pStyle w:val="Heading2"/>
        <w:keepNext/>
      </w:pPr>
      <w:r>
        <w:t>Category cues that must remain distinct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tblHeader/>
          <w:cantSplit/>
        </w:trPr>
        <w:tc>
          <w:tcPr>
            <w:tcW w:type="dxa" w:w="2088"/>
            <w:vAlign w:val="center"/>
            <w:tcMar>
              <w:top w:w="80" w:type="dxa"/>
              <w:bottom w:w="80" w:type="dxa"/>
              <w:left w:w="100" w:type="dxa"/>
              <w:right w:w="100" w:type="dxa"/>
            </w:tcMar>
            <w:shd w:fill="E8EEF5"/>
          </w:tcPr>
          <w:p>
            <w:pPr>
              <w:spacing w:after="0" w:before="0" w:line="252" w:lineRule="auto"/>
            </w:pPr>
            <w:r>
              <w:rPr>
                <w:b/>
                <w:color w:val="000000"/>
                <w:sz w:val="20"/>
              </w:rPr>
              <w:t>Category</w:t>
            </w:r>
          </w:p>
        </w:tc>
        <w:tc>
          <w:tcPr>
            <w:tcW w:type="dxa" w:w="7992"/>
            <w:vAlign w:val="center"/>
            <w:tcMar>
              <w:top w:w="80" w:type="dxa"/>
              <w:bottom w:w="80" w:type="dxa"/>
              <w:left w:w="100" w:type="dxa"/>
              <w:right w:w="100" w:type="dxa"/>
            </w:tcMar>
            <w:shd w:fill="E8EEF5"/>
          </w:tcPr>
          <w:p>
            <w:pPr>
              <w:spacing w:after="0" w:before="0" w:line="252" w:lineRule="auto"/>
            </w:pPr>
            <w:r>
              <w:rPr>
                <w:b/>
                <w:color w:val="000000"/>
                <w:sz w:val="20"/>
              </w:rPr>
              <w:t>Preserve in interpretation and reason labels</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Banking</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Fees, product availability, eligibility and documentation, account features, branch/ATM access and switching commitments.</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Insurance</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Premiums, cover availability, underwriting, exclusions/excesses, broker or service access and existing policy commitments.</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Mobile telecoms</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Package/airtime/data costs, SIM or device availability, coverage, eligibility, contract costs and number porting.</w:t>
            </w:r>
          </w:p>
        </w:tc>
      </w:tr>
      <w:tr>
        <w:trPr>
          <w:cantSplit/>
        </w:trPr>
        <w:tc>
          <w:tcPr>
            <w:tcW w:type="dxa" w:w="2088"/>
            <w:vAlign w:val="center"/>
            <w:tcMar>
              <w:top w:w="80" w:type="dxa"/>
              <w:bottom w:w="80" w:type="dxa"/>
              <w:left w:w="100" w:type="dxa"/>
              <w:right w:w="100" w:type="dxa"/>
            </w:tcMar>
          </w:tcPr>
          <w:p>
            <w:pPr>
              <w:spacing w:after="0" w:before="0" w:line="252" w:lineRule="auto"/>
            </w:pPr>
            <w:r>
              <w:rPr>
                <w:b w:val="0"/>
                <w:color w:val="000000"/>
                <w:sz w:val="20"/>
              </w:rPr>
              <w:t>Cars</w:t>
            </w:r>
          </w:p>
        </w:tc>
        <w:tc>
          <w:tcPr>
            <w:tcW w:type="dxa" w:w="7992"/>
            <w:vAlign w:val="center"/>
            <w:tcMar>
              <w:top w:w="80" w:type="dxa"/>
              <w:bottom w:w="80" w:type="dxa"/>
              <w:left w:w="100" w:type="dxa"/>
              <w:right w:w="100" w:type="dxa"/>
            </w:tcMar>
          </w:tcPr>
          <w:p>
            <w:pPr>
              <w:spacing w:after="0" w:before="0" w:line="252" w:lineRule="auto"/>
            </w:pPr>
            <w:r>
              <w:rPr>
                <w:b w:val="0"/>
                <w:color w:val="000000"/>
                <w:sz w:val="20"/>
              </w:rPr>
              <w:t>Purchase/lease/running budget, model or stock availability, finance/deposit eligibility, household fit, dealer access and delivery.</w:t>
            </w:r>
          </w:p>
        </w:tc>
      </w:tr>
    </w:tbl>
    <w:p>
      <w:pPr>
        <w:spacing w:before="120"/>
      </w:pPr>
      <w:r>
        <w:t>Retain household influence, new information, familiar-provider preference and another reason. Do not label all gaps as availability failures, lost sales or unrealised demand. These retrospective self-reports can distinguish patterns consistent with practical restrictions from changed preferences, but cannot causally prove a strong brand was constrained or a weak brand was rejected.</w:t>
      </w:r>
    </w:p>
    <w:p>
      <w:pPr>
        <w:pStyle w:val="Heading2"/>
        <w:keepNext/>
      </w:pPr>
      <w:r>
        <w:t>Connect to existing analyses carefully</w:t>
      </w:r>
    </w:p>
    <w:p>
      <w:pPr/>
      <w:r>
        <w:t>New constructs may be selectable in an existing quadrant or driver view only when its method supports the correct data type, common universe and missingness rules. Keep the existing features intact. Label associations or model contributions as descriptive or predictive, not causal; disclose the analysis base and model specification. Do not backfill absent new constructs with related attributes.</w:t>
      </w:r>
    </w:p>
    <w:p>
      <w:pPr>
        <w:pStyle w:val="Heading1"/>
        <w:keepNext/>
        <w:pageBreakBefore/>
      </w:pPr>
      <w:r>
        <w:t>Controls and acceptance checks</w:t>
      </w:r>
    </w:p>
    <w:p>
      <w:pPr/>
      <w:r>
        <w:t>Apply the existing wave, audience, brand and weighting controls consistently. Every new chart must disclose its numerator, denominator, filters, units and question source. Show raw n, weighted base and effective base separately. Retain the pack’s declared rules: warn below raw n=50 and suppress numeric inference below 30. A zero denominator is Not available, never 0%.</w:t>
      </w:r>
    </w:p>
    <w:p>
      <w:pPr/>
      <w:r>
        <w:t>Keep unknown and not-asked states visible in data diagnostics. Exclude them only according to the relevant metric definition. If weights are absent, report unweighted results explicitly; do not invent weights. For these fixtures, weights are synthetic and not calibrated population weights. Independent reference values check arithmetic, not market validity or successful app implementation.</w:t>
      </w:r>
    </w:p>
    <w:p>
      <w:pPr>
        <w:pStyle w:val="Heading2"/>
        <w:keepNext/>
      </w:pPr>
      <w:r>
        <w:t>Required import and calculation tests</w:t>
      </w:r>
    </w:p>
    <w:p>
      <w:pPr>
        <w:pStyle w:val="ListBullet"/>
      </w:pPr>
      <w:r>
        <w:t>Load all three waves for each category. Verify 1,000 rows per wave, unchanged original IDs and fields, the 49 added fields, and totals of 550 banking, 550 insurance, 551 telecoms and 543 car columns.</w:t>
      </w:r>
    </w:p>
    <w:p>
      <w:pPr>
        <w:pStyle w:val="ListBullet"/>
      </w:pPr>
      <w:r>
        <w:t>Test an unaware brand with blank ratings, valid endpoints 1 and 5, code 9, an absent construct, and a measured construct with no valid denominator. Confirm Not measured and Not available are different states.</w:t>
      </w:r>
    </w:p>
    <w:p>
      <w:pPr>
        <w:pStyle w:val="ListBullet"/>
      </w:pPr>
      <w:r>
        <w:t>Recalculate one full rating distribution, top-two-box and cannot-judge percentage independently for weighted and unweighted modes. Confirm valid and aware denominators differ where appropriate.</w:t>
      </w:r>
    </w:p>
    <w:p>
      <w:pPr>
        <w:pStyle w:val="ListBullet"/>
      </w:pPr>
      <w:r>
        <w:t>Test no recent episode, same tracked brand, different tracked brands, no ideal, cannot recall, matching named Other, different named Other, an unresolved Other name, and an Other name resolved to a tracked brand.</w:t>
      </w:r>
    </w:p>
    <w:p>
      <w:pPr>
        <w:pStyle w:val="ListBullet"/>
      </w:pPr>
      <w:r>
        <w:t>Recalculate paired ideal/actual shares, overall gap and brand-specific fulfilment from the same filtered cases. Ensure future first choice and current/main brand do not enter the pair.</w:t>
      </w:r>
    </w:p>
    <w:p>
      <w:pPr>
        <w:pStyle w:val="ListBullet"/>
      </w:pPr>
      <w:r>
        <w:t>Test multi-selected reasons, exclusive None, exclusive Cannot recall, conditional other text, an unanswered E6 and a non-gap case. Check reason denominators and prevent exclusive-option conflicts.</w:t>
      </w:r>
    </w:p>
    <w:p>
      <w:pPr>
        <w:pStyle w:val="ListBullet"/>
      </w:pPr>
      <w:r>
        <w:t>Change wave, audience, brand and weighting controls; verify bases and tooltips update together. Inspect collapsed and expanded Variables panels on desktop and narrow layouts.</w:t>
      </w:r>
    </w:p>
    <w:p>
      <w:pPr>
        <w:pStyle w:val="ListBullet"/>
      </w:pPr>
      <w:r>
        <w:t>Run regression checks for the existing quadrant, driver, funnel, memory, association and profiling features. No existing calculation or visual design may regress as a side effect of the extension.</w:t>
      </w:r>
    </w:p>
    <w:p>
      <w:pPr>
        <w:pStyle w:val="Heading2"/>
        <w:keepNext/>
      </w:pPr>
      <w:r>
        <w:t>Source repair and handover</w:t>
      </w:r>
    </w:p>
    <w:p>
      <w:pPr/>
      <w:r>
        <w:t>Two source CSVs were originally truncated: banking Wave 2 held 371 rows, so 629 missing rows were restored; telecoms Wave 2 held 904 rows, so 96 were restored. Both repairs use the intact 1,000-row source workbooks and preserve original values; no new people were added. All added responses remain synthetic fixtures.</w:t>
      </w:r>
    </w:p>
    <w:p>
      <w:pPr/>
      <w:r>
        <w:t>Implement in the existing app and hand over a concise change log, detection diagnostics, the metric/base definitions and test results. List any ambiguous or absent measures rather than claiming support. Do not claim the application passed until the actual implementation and end-to-end checks have run.</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