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color w:val="000000"/>
        </w:rPr>
        <w:t>FNB customer satisfaction tracking brief</w:t>
      </w:r>
    </w:p>
    <w:p>
      <w:pPr>
        <w:spacing w:after="60"/>
      </w:pPr>
      <w:r>
        <w:t>Mock Research and Customer Experience Manager brief | Three-wave commissioning request</w:t>
      </w:r>
    </w:p>
    <w:p>
      <w:pPr>
        <w:spacing w:after="60"/>
      </w:pPr>
      <w:r>
        <w:t>We need a tracker that tells us how customers judge FNB overall and what happens when they use specific channels. We do not want a company score driven only by recent call-centre users. This is a fictional brief for a synthetic dataset, not an instruction issued by the named company.</w:t>
      </w:r>
    </w:p>
    <w:p>
      <w:pPr>
        <w:pStyle w:val="Heading1"/>
        <w:spacing w:after="60" w:before="120"/>
      </w:pPr>
      <w:r>
        <w:rPr>
          <w:color w:val="000000"/>
        </w:rPr>
        <w:t>Decisions and objectives</w:t>
      </w:r>
    </w:p>
    <w:p>
      <w:pPr>
        <w:spacing w:after="60"/>
      </w:pPr>
      <w:r>
        <w:t>Identify relationship strengths and risks, channel failures, priority service improvements and groups requiring further investigation. Track overall satisfaction, service quality, value, fairness, recommendation, continuing-use intention and switching risk. For recent encounters, measure satisfaction, ease, task completion, resolution, repeat contact, waiting, IVR and staff treatment.</w:t>
      </w:r>
    </w:p>
    <w:p>
      <w:pPr>
        <w:spacing w:after="60"/>
      </w:pPr>
      <w:r>
        <w:t>The additive expansion also measures continuity across one anchored task, emotional outcomes and their reasons, experience-led preference, and reasons for continuing use. It separates genuine preference from habit, contractual barriers, switching inconvenience and lack of alternatives. Comparable competitor evidence requires personal recent use of the same task type; expectations come from a separate noncustomer sample.</w:t>
      </w:r>
    </w:p>
    <w:p>
      <w:pPr>
        <w:pStyle w:val="Heading1"/>
        <w:spacing w:after="60" w:before="120"/>
      </w:pPr>
      <w:r>
        <w:rPr>
          <w:color w:val="000000"/>
        </w:rPr>
        <w:t>Design</w:t>
      </w:r>
    </w:p>
    <w:p>
      <w:pPr>
        <w:spacing w:after="60"/>
      </w:pPr>
      <w:r>
        <w:t>Adults 18–69 who currently use a personal banking account. Evaluate the bank used for most day-to-day banking, not every bank held. Exclude business-only banking.</w:t>
      </w:r>
    </w:p>
    <w:p>
      <w:pPr>
        <w:spacing w:after="60"/>
      </w:pPr>
      <w:r>
        <w:t>Commission three independent waves with 1,000 current customers per wave. Ask company measures first. Then screen channel use over 30 days and assess the most recent interaction in each used channel. Report one relationship record per person and separate channel records linked by ID. A person with four channel experiences still counts once in company scores. The illustrative comparative sample includes other companies, with fixed disclosed allocations; it is not a population market-share design.</w:t>
      </w:r>
    </w:p>
    <w:p>
      <w:pPr>
        <w:spacing w:after="60"/>
      </w:pPr>
      <w:r>
        <w:t>Keep all original current-customer and channel data. Add a separate synthetic quota supplement of 500 FNB noncustomers in each wave. They are current sector users but have no current use of FNB in any capacity. Use new anonymous IDs and unit weights, with approximately balanced alternative main providers. This is a demonstration design, not a population target or market-share sample. Do not pool its base with the 1,000 current customers per wave.</w:t>
      </w:r>
    </w:p>
    <w:p>
      <w:pPr>
        <w:pStyle w:val="Heading1"/>
        <w:spacing w:after="60" w:before="120"/>
      </w:pPr>
      <w:r>
        <w:rPr>
          <w:color w:val="000000"/>
        </w:rPr>
        <w:t>Deliverables</w:t>
      </w:r>
    </w:p>
    <w:p>
      <w:pPr>
        <w:spacing w:after="60"/>
      </w:pPr>
      <w:r>
        <w:t>Provide a programmed questionnaire, three relationship datasets and three channel-experience datasets, embedded labels, a master codebook, metric definitions and reproducible chart data. Present a dashboard specification with separate relationship and channel views, waves, companies, channel, reason, product and demographic filters. Supply editable findings and recommendations grounded in actual bases and uncertainty.</w:t>
      </w:r>
    </w:p>
    <w:p>
      <w:pPr>
        <w:spacing w:after="60"/>
      </w:pPr>
      <w:r>
        <w:t>Extend existing questionnaires, data columns, embedded metadata, codebooks, metric references and validators without recoding the original fields. Supply a separate noncustomer questionnaire and datasets. Use the written Claude implementation instructions for a later authorised app update; preserve the existing font, layout and #2563eb accent. No app changes or contact with Claude are part of this file update.</w:t>
      </w:r>
    </w:p>
    <w:p>
      <w:pPr>
        <w:pStyle w:val="Heading1"/>
        <w:spacing w:after="60" w:before="120"/>
      </w:pPr>
      <w:r>
        <w:rPr>
          <w:color w:val="000000"/>
        </w:rPr>
        <w:t>Acceptance</w:t>
      </w:r>
    </w:p>
    <w:p>
      <w:pPr>
        <w:spacing w:after="60"/>
      </w:pPr>
      <w:r>
        <w:t>Use a fully labelled five-point satisfaction scale with 4–5 as top two. Keep NPS on 0–10 and ease on 1–7. Reverse interpretation, not raw data, for switching likelihood. Retain structural blanks and substantive pending outcomes. Show low bases. Do not claim observed churn, causal drivers, market rankings or certified ACSI/SERVQUAL scores from these fixtures. Cost the pilot, recruitment, fieldwork, weighting, processing and reporting separately. Agree consent, privacy, retention and access before real fieldwork.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Customer satisfaction tracking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