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South African banking company satisfaction questionnaire</w:t>
      </w:r>
    </w:p>
    <w:p>
      <w:r>
        <w:t>Company tracker | Three synthetic waves | Version 3 additive expansion 30 October 2026</w:t>
      </w:r>
    </w:p>
    <w:p>
      <w:r>
        <w:t>Measure the overall relationship with the customer’s main provider. Use this questionnaire with the three Relationship wave files. One row represents one customer in one wave. The separate Channel questionnaire measures recent experiences.</w:t>
      </w:r>
    </w:p>
    <w:p>
      <w:pPr>
        <w:pStyle w:val="Heading1"/>
      </w:pPr>
      <w:r>
        <w:rPr>
          <w:color w:val="000000"/>
        </w:rPr>
        <w:t>Population sample and recall</w:t>
      </w:r>
    </w:p>
    <w:p>
      <w:r>
        <w:t>Adults 18–69 who currently use a personal banking account. Evaluate the bank used for most day-to-day banking, not every bank held. Exclude business-only banking.</w:t>
      </w:r>
    </w:p>
    <w:p>
      <w:r>
        <w:t>Each wave has 1,000 independent current customers. February, June and October 2026 are illustrative waves. Company ratings refer to the past three months or since joining if shorter. The channel-use screen supplies customer-level usage flags, not detailed interaction ratings.</w:t>
      </w:r>
    </w:p>
    <w:p>
      <w:r>
        <w:t>The historical Ask Afrika Word attachment is a general questionnaire template with several unrelated examples, not a CSM-specific instrument. Its question/routing conventions inform the format. The earlier workbook supplies the company/call-centre split, IVR, process audit, service drivers and loyalty concepts. Neither file is overwritten.</w:t>
      </w:r>
    </w:p>
    <w:p>
      <w:pPr>
        <w:pStyle w:val="Heading2"/>
      </w:pPr>
      <w:r>
        <w:rPr>
          <w:color w:val="000000"/>
        </w:rPr>
        <w:t>S1 How old are you, and do you currently use an eligible personal service?</w:t>
      </w:r>
    </w:p>
    <w:p>
      <w:pPr>
        <w:keepNext/>
      </w:pPr>
      <w:r>
        <w:t>Response: Age plus eligibility. Ask: all.</w:t>
      </w:r>
    </w:p>
    <w:p>
      <w:r>
        <w:t>Codes and programming: Age 18–69 and current service required. Record main company code and stable anonymous text respondent_id. No names, accounts, policy or phone numbers.</w:t>
      </w:r>
    </w:p>
    <w:tbl>
      <w:tblPr>
        <w:tblStyle w:val="LightShading-Accent1"/>
        <w:tblW w:type="auto" w:w="0"/>
        <w:tblLook w:firstColumn="1" w:firstRow="1" w:lastColumn="0" w:lastRow="0" w:noHBand="0" w:noVBand="1" w:val="04A0"/>
      </w:tblPr>
      <w:tblGrid>
        <w:gridCol w:w="3360"/>
        <w:gridCol w:w="3360"/>
        <w:gridCol w:w="3360"/>
      </w:tblGrid>
      <w:tr>
        <w:trPr>
          <w:tblHeader/>
        </w:trPr>
        <w:tc>
          <w:tcPr>
            <w:tcW w:type="dxa" w:w="3360"/>
          </w:tcPr>
          <w:p>
            <w:pPr>
              <w:spacing w:after="60"/>
            </w:pPr>
            <w:r>
              <w:rPr>
                <w:sz w:val="18"/>
              </w:rPr>
              <w:t>Code</w:t>
            </w:r>
          </w:p>
        </w:tc>
        <w:tc>
          <w:tcPr>
            <w:tcW w:type="dxa" w:w="3360"/>
          </w:tcPr>
          <w:p>
            <w:pPr>
              <w:spacing w:after="60"/>
            </w:pPr>
            <w:r>
              <w:rPr>
                <w:sz w:val="18"/>
              </w:rPr>
              <w:t>Main company</w:t>
            </w:r>
          </w:p>
        </w:tc>
        <w:tc>
          <w:tcPr>
            <w:tcW w:type="dxa" w:w="3360"/>
          </w:tcPr>
          <w:p>
            <w:pPr>
              <w:spacing w:after="60"/>
            </w:pPr>
            <w:r>
              <w:rPr>
                <w:sz w:val="18"/>
              </w:rPr>
              <w:t>Allocated cases per wave</w:t>
            </w:r>
          </w:p>
        </w:tc>
      </w:tr>
      <w:tr>
        <w:tc>
          <w:tcPr>
            <w:tcW w:type="dxa" w:w="3360"/>
          </w:tcPr>
          <w:p>
            <w:pPr>
              <w:spacing w:after="60"/>
            </w:pPr>
            <w:r>
              <w:rPr>
                <w:sz w:val="18"/>
              </w:rPr>
              <w:t>1</w:t>
            </w:r>
          </w:p>
        </w:tc>
        <w:tc>
          <w:tcPr>
            <w:tcW w:type="dxa" w:w="3360"/>
          </w:tcPr>
          <w:p>
            <w:pPr>
              <w:spacing w:after="60"/>
            </w:pPr>
            <w:r>
              <w:rPr>
                <w:sz w:val="18"/>
              </w:rPr>
              <w:t>FNB</w:t>
            </w:r>
          </w:p>
        </w:tc>
        <w:tc>
          <w:tcPr>
            <w:tcW w:type="dxa" w:w="3360"/>
          </w:tcPr>
          <w:p>
            <w:pPr>
              <w:spacing w:after="60"/>
            </w:pPr>
            <w:r>
              <w:rPr>
                <w:sz w:val="18"/>
              </w:rPr>
              <w:t>200</w:t>
            </w:r>
          </w:p>
        </w:tc>
      </w:tr>
      <w:tr>
        <w:tc>
          <w:tcPr>
            <w:tcW w:type="dxa" w:w="3360"/>
          </w:tcPr>
          <w:p>
            <w:pPr>
              <w:spacing w:after="60"/>
            </w:pPr>
            <w:r>
              <w:rPr>
                <w:sz w:val="18"/>
              </w:rPr>
              <w:t>2</w:t>
            </w:r>
          </w:p>
        </w:tc>
        <w:tc>
          <w:tcPr>
            <w:tcW w:type="dxa" w:w="3360"/>
          </w:tcPr>
          <w:p>
            <w:pPr>
              <w:spacing w:after="60"/>
            </w:pPr>
            <w:r>
              <w:rPr>
                <w:sz w:val="18"/>
              </w:rPr>
              <w:t>Standard Bank</w:t>
            </w:r>
          </w:p>
        </w:tc>
        <w:tc>
          <w:tcPr>
            <w:tcW w:type="dxa" w:w="3360"/>
          </w:tcPr>
          <w:p>
            <w:pPr>
              <w:spacing w:after="60"/>
            </w:pPr>
            <w:r>
              <w:rPr>
                <w:sz w:val="18"/>
              </w:rPr>
              <w:t>160</w:t>
            </w:r>
          </w:p>
        </w:tc>
      </w:tr>
      <w:tr>
        <w:tc>
          <w:tcPr>
            <w:tcW w:type="dxa" w:w="3360"/>
          </w:tcPr>
          <w:p>
            <w:pPr>
              <w:spacing w:after="60"/>
            </w:pPr>
            <w:r>
              <w:rPr>
                <w:sz w:val="18"/>
              </w:rPr>
              <w:t>3</w:t>
            </w:r>
          </w:p>
        </w:tc>
        <w:tc>
          <w:tcPr>
            <w:tcW w:type="dxa" w:w="3360"/>
          </w:tcPr>
          <w:p>
            <w:pPr>
              <w:spacing w:after="60"/>
            </w:pPr>
            <w:r>
              <w:rPr>
                <w:sz w:val="18"/>
              </w:rPr>
              <w:t>Absa</w:t>
            </w:r>
          </w:p>
        </w:tc>
        <w:tc>
          <w:tcPr>
            <w:tcW w:type="dxa" w:w="3360"/>
          </w:tcPr>
          <w:p>
            <w:pPr>
              <w:spacing w:after="60"/>
            </w:pPr>
            <w:r>
              <w:rPr>
                <w:sz w:val="18"/>
              </w:rPr>
              <w:t>150</w:t>
            </w:r>
          </w:p>
        </w:tc>
      </w:tr>
      <w:tr>
        <w:tc>
          <w:tcPr>
            <w:tcW w:type="dxa" w:w="3360"/>
          </w:tcPr>
          <w:p>
            <w:pPr>
              <w:spacing w:after="60"/>
            </w:pPr>
            <w:r>
              <w:rPr>
                <w:sz w:val="18"/>
              </w:rPr>
              <w:t>4</w:t>
            </w:r>
          </w:p>
        </w:tc>
        <w:tc>
          <w:tcPr>
            <w:tcW w:type="dxa" w:w="3360"/>
          </w:tcPr>
          <w:p>
            <w:pPr>
              <w:spacing w:after="60"/>
            </w:pPr>
            <w:r>
              <w:rPr>
                <w:sz w:val="18"/>
              </w:rPr>
              <w:t>Nedbank</w:t>
            </w:r>
          </w:p>
        </w:tc>
        <w:tc>
          <w:tcPr>
            <w:tcW w:type="dxa" w:w="3360"/>
          </w:tcPr>
          <w:p>
            <w:pPr>
              <w:spacing w:after="60"/>
            </w:pPr>
            <w:r>
              <w:rPr>
                <w:sz w:val="18"/>
              </w:rPr>
              <w:t>140</w:t>
            </w:r>
          </w:p>
        </w:tc>
      </w:tr>
      <w:tr>
        <w:tc>
          <w:tcPr>
            <w:tcW w:type="dxa" w:w="3360"/>
          </w:tcPr>
          <w:p>
            <w:pPr>
              <w:spacing w:after="60"/>
            </w:pPr>
            <w:r>
              <w:rPr>
                <w:sz w:val="18"/>
              </w:rPr>
              <w:t>5</w:t>
            </w:r>
          </w:p>
        </w:tc>
        <w:tc>
          <w:tcPr>
            <w:tcW w:type="dxa" w:w="3360"/>
          </w:tcPr>
          <w:p>
            <w:pPr>
              <w:spacing w:after="60"/>
            </w:pPr>
            <w:r>
              <w:rPr>
                <w:sz w:val="18"/>
              </w:rPr>
              <w:t>Capitec</w:t>
            </w:r>
          </w:p>
        </w:tc>
        <w:tc>
          <w:tcPr>
            <w:tcW w:type="dxa" w:w="3360"/>
          </w:tcPr>
          <w:p>
            <w:pPr>
              <w:spacing w:after="60"/>
            </w:pPr>
            <w:r>
              <w:rPr>
                <w:sz w:val="18"/>
              </w:rPr>
              <w:t>180</w:t>
            </w:r>
          </w:p>
        </w:tc>
      </w:tr>
      <w:tr>
        <w:tc>
          <w:tcPr>
            <w:tcW w:type="dxa" w:w="3360"/>
          </w:tcPr>
          <w:p>
            <w:pPr>
              <w:spacing w:after="60"/>
            </w:pPr>
            <w:r>
              <w:rPr>
                <w:sz w:val="18"/>
              </w:rPr>
              <w:t>6</w:t>
            </w:r>
          </w:p>
        </w:tc>
        <w:tc>
          <w:tcPr>
            <w:tcW w:type="dxa" w:w="3360"/>
          </w:tcPr>
          <w:p>
            <w:pPr>
              <w:spacing w:after="60"/>
            </w:pPr>
            <w:r>
              <w:rPr>
                <w:sz w:val="18"/>
              </w:rPr>
              <w:t>Discovery Bank</w:t>
            </w:r>
          </w:p>
        </w:tc>
        <w:tc>
          <w:tcPr>
            <w:tcW w:type="dxa" w:w="3360"/>
          </w:tcPr>
          <w:p>
            <w:pPr>
              <w:spacing w:after="60"/>
            </w:pPr>
            <w:r>
              <w:rPr>
                <w:sz w:val="18"/>
              </w:rPr>
              <w:t>90</w:t>
            </w:r>
          </w:p>
        </w:tc>
      </w:tr>
      <w:tr>
        <w:tc>
          <w:tcPr>
            <w:tcW w:type="dxa" w:w="3360"/>
          </w:tcPr>
          <w:p>
            <w:pPr>
              <w:spacing w:after="60"/>
            </w:pPr>
            <w:r>
              <w:rPr>
                <w:sz w:val="18"/>
              </w:rPr>
              <w:t>7</w:t>
            </w:r>
          </w:p>
        </w:tc>
        <w:tc>
          <w:tcPr>
            <w:tcW w:type="dxa" w:w="3360"/>
          </w:tcPr>
          <w:p>
            <w:pPr>
              <w:spacing w:after="60"/>
            </w:pPr>
            <w:r>
              <w:rPr>
                <w:sz w:val="18"/>
              </w:rPr>
              <w:t>GoTyme Bank (formerly TymeBank)</w:t>
            </w:r>
          </w:p>
        </w:tc>
        <w:tc>
          <w:tcPr>
            <w:tcW w:type="dxa" w:w="3360"/>
          </w:tcPr>
          <w:p>
            <w:pPr>
              <w:spacing w:after="60"/>
            </w:pPr>
            <w:r>
              <w:rPr>
                <w:sz w:val="18"/>
              </w:rPr>
              <w:t>80</w:t>
            </w:r>
          </w:p>
        </w:tc>
      </w:tr>
    </w:tbl>
    <w:p>
      <w:pPr>
        <w:pStyle w:val="Heading2"/>
      </w:pPr>
      <w:r>
        <w:rPr>
          <w:color w:val="000000"/>
        </w:rPr>
        <w:t>S2 Which company do you use most, and how long have you used it?</w:t>
      </w:r>
    </w:p>
    <w:p>
      <w:pPr>
        <w:keepNext/>
      </w:pPr>
      <w:r>
        <w:t>Response: Single response and numeric. Ask: current customers.</w:t>
      </w:r>
    </w:p>
    <w:p>
      <w:r>
        <w:t>Codes and programming: company codes above; tenure_months. This is a main-provider customer sample, not a brand-awareness sample.</w:t>
      </w:r>
    </w:p>
    <w:p>
      <w:pPr>
        <w:pStyle w:val="Heading2"/>
      </w:pPr>
      <w:r>
        <w:rPr>
          <w:color w:val="000000"/>
        </w:rPr>
        <w:t>S3 Which products or service types do you currently use?</w:t>
      </w:r>
    </w:p>
    <w:p>
      <w:pPr>
        <w:keepNext/>
      </w:pPr>
      <w:r>
        <w:t>Response: Multiple response. Ask: all eligible.</w:t>
      </w:r>
    </w:p>
    <w:p>
      <w:r>
        <w:t>Codes and programming: product_p01–p04: Transactional account; Savings or investment account; Credit card; Loan or credit facility. 1 Selected; 0 Not selected. At least one. Membership stored explicitly.</w:t>
      </w:r>
    </w:p>
    <w:p>
      <w:pPr>
        <w:pStyle w:val="Heading1"/>
      </w:pPr>
      <w:r>
        <w:rPr>
          <w:color w:val="000000"/>
        </w:rPr>
        <w:t>Overall company relationship</w:t>
      </w:r>
    </w:p>
    <w:p>
      <w:r>
        <w:t>Ask overall company questions before any detailed channel questionnaire. Rate the whole relationship, not only a recent call. Show full scale labels. Code 99 means Do not know and is excluded from valid rating bases.</w:t>
      </w:r>
    </w:p>
    <w:p>
      <w:pPr>
        <w:pStyle w:val="Heading2"/>
      </w:pPr>
      <w:r>
        <w:rPr>
          <w:color w:val="000000"/>
        </w:rPr>
        <w:t>R1 Overall, considering your experience with [COMPANY] during the past three months, how satisfied are you?</w:t>
      </w:r>
    </w:p>
    <w:p>
      <w:pPr>
        <w:keepNext/>
      </w:pPr>
      <w:r>
        <w:t>Response: Single response five-point. Ask: all customers.</w:t>
      </w:r>
    </w:p>
    <w:p>
      <w:r>
        <w:t>Codes and programming: company_csat5: 1 Very dissatisfied; 2 Dissatisfied; 3 Neither; 4 Satisfied; 5 Very satisfied; 99 Do not know. Top two box is 4 or 5, top box is 5, bottom two box is 1 or 2. Retain all five categories.</w:t>
      </w:r>
    </w:p>
    <w:p>
      <w:pPr>
        <w:pStyle w:val="Heading2"/>
      </w:pPr>
      <w:r>
        <w:rPr>
          <w:color w:val="000000"/>
        </w:rPr>
        <w:t>R2 How has [COMPANY] performed compared with what you expected?</w:t>
      </w:r>
    </w:p>
    <w:p>
      <w:pPr>
        <w:keepNext/>
      </w:pPr>
      <w:r>
        <w:t>Response: Single response five-point. Ask: all.</w:t>
      </w:r>
    </w:p>
    <w:p>
      <w:r>
        <w:t>Codes and programming: company_expectations5: 1 Much worse; 2 Worse; 3 About as expected; 4 Better; 5 Much better; 99 Do not know. Top two means exceeds expectations, not satisfied.</w:t>
      </w:r>
    </w:p>
    <w:p>
      <w:pPr>
        <w:pStyle w:val="Heading2"/>
      </w:pPr>
      <w:r>
        <w:rPr>
          <w:color w:val="000000"/>
        </w:rPr>
        <w:t>R3 How would you rate [COMPANY] on each aspect below?</w:t>
      </w:r>
    </w:p>
    <w:p>
      <w:pPr>
        <w:keepNext/>
      </w:pPr>
      <w:r>
        <w:t>Response: Performance grid. Ask: all.</w:t>
      </w:r>
    </w:p>
    <w:p>
      <w:r>
        <w:t>Codes and programming: company_driver_d01–d06: 1 Very poor; 2 Poor; 3 Adequate; 4 Good; 5 Excellent; 98 Not applicable; 99 Do not know. These are performance ratings, not satisfaction or agreement scores.</w:t>
      </w:r>
    </w:p>
    <w:tbl>
      <w:tblPr>
        <w:tblStyle w:val="LightShading-Accent1"/>
        <w:tblW w:type="auto" w:w="0"/>
        <w:tblLook w:firstColumn="1" w:firstRow="1" w:lastColumn="0" w:lastRow="0" w:noHBand="0" w:noVBand="1" w:val="04A0"/>
      </w:tblPr>
      <w:tblGrid>
        <w:gridCol w:w="5040"/>
        <w:gridCol w:w="5040"/>
      </w:tblGrid>
      <w:tr>
        <w:trPr>
          <w:tblHeader/>
        </w:trPr>
        <w:tc>
          <w:tcPr>
            <w:tcW w:type="dxa" w:w="5040"/>
          </w:tcPr>
          <w:p>
            <w:pPr>
              <w:spacing w:after="60"/>
            </w:pPr>
            <w:r>
              <w:rPr>
                <w:sz w:val="18"/>
              </w:rPr>
              <w:t>Code</w:t>
            </w:r>
          </w:p>
        </w:tc>
        <w:tc>
          <w:tcPr>
            <w:tcW w:type="dxa" w:w="5040"/>
          </w:tcPr>
          <w:p>
            <w:pPr>
              <w:spacing w:after="60"/>
            </w:pPr>
            <w:r>
              <w:rPr>
                <w:sz w:val="18"/>
              </w:rPr>
              <w:t>Aspect</w:t>
            </w:r>
          </w:p>
        </w:tc>
      </w:tr>
      <w:tr>
        <w:tc>
          <w:tcPr>
            <w:tcW w:type="dxa" w:w="5040"/>
          </w:tcPr>
          <w:p>
            <w:pPr>
              <w:spacing w:after="60"/>
            </w:pPr>
            <w:r>
              <w:rPr>
                <w:sz w:val="18"/>
              </w:rPr>
              <w:t>d01</w:t>
            </w:r>
          </w:p>
        </w:tc>
        <w:tc>
          <w:tcPr>
            <w:tcW w:type="dxa" w:w="5040"/>
          </w:tcPr>
          <w:p>
            <w:pPr>
              <w:spacing w:after="60"/>
            </w:pPr>
            <w:r>
              <w:rPr>
                <w:sz w:val="18"/>
              </w:rPr>
              <w:t>Services work accurately and reliably</w:t>
            </w:r>
          </w:p>
        </w:tc>
      </w:tr>
      <w:tr>
        <w:tc>
          <w:tcPr>
            <w:tcW w:type="dxa" w:w="5040"/>
          </w:tcPr>
          <w:p>
            <w:pPr>
              <w:spacing w:after="60"/>
            </w:pPr>
            <w:r>
              <w:rPr>
                <w:sz w:val="18"/>
              </w:rPr>
              <w:t>d02</w:t>
            </w:r>
          </w:p>
        </w:tc>
        <w:tc>
          <w:tcPr>
            <w:tcW w:type="dxa" w:w="5040"/>
          </w:tcPr>
          <w:p>
            <w:pPr>
              <w:spacing w:after="60"/>
            </w:pPr>
            <w:r>
              <w:rPr>
                <w:sz w:val="18"/>
              </w:rPr>
              <w:t>Help is provided promptly</w:t>
            </w:r>
          </w:p>
        </w:tc>
      </w:tr>
      <w:tr>
        <w:tc>
          <w:tcPr>
            <w:tcW w:type="dxa" w:w="5040"/>
          </w:tcPr>
          <w:p>
            <w:pPr>
              <w:spacing w:after="60"/>
            </w:pPr>
            <w:r>
              <w:rPr>
                <w:sz w:val="18"/>
              </w:rPr>
              <w:t>d03</w:t>
            </w:r>
          </w:p>
        </w:tc>
        <w:tc>
          <w:tcPr>
            <w:tcW w:type="dxa" w:w="5040"/>
          </w:tcPr>
          <w:p>
            <w:pPr>
              <w:spacing w:after="60"/>
            </w:pPr>
            <w:r>
              <w:rPr>
                <w:sz w:val="18"/>
              </w:rPr>
              <w:t>I feel confident about security</w:t>
            </w:r>
          </w:p>
        </w:tc>
      </w:tr>
      <w:tr>
        <w:tc>
          <w:tcPr>
            <w:tcW w:type="dxa" w:w="5040"/>
          </w:tcPr>
          <w:p>
            <w:pPr>
              <w:spacing w:after="60"/>
            </w:pPr>
            <w:r>
              <w:rPr>
                <w:sz w:val="18"/>
              </w:rPr>
              <w:t>d04</w:t>
            </w:r>
          </w:p>
        </w:tc>
        <w:tc>
          <w:tcPr>
            <w:tcW w:type="dxa" w:w="5040"/>
          </w:tcPr>
          <w:p>
            <w:pPr>
              <w:spacing w:after="60"/>
            </w:pPr>
            <w:r>
              <w:rPr>
                <w:sz w:val="18"/>
              </w:rPr>
              <w:t>The bank understands my needs</w:t>
            </w:r>
          </w:p>
        </w:tc>
      </w:tr>
      <w:tr>
        <w:tc>
          <w:tcPr>
            <w:tcW w:type="dxa" w:w="5040"/>
          </w:tcPr>
          <w:p>
            <w:pPr>
              <w:spacing w:after="60"/>
            </w:pPr>
            <w:r>
              <w:rPr>
                <w:sz w:val="18"/>
              </w:rPr>
              <w:t>d05</w:t>
            </w:r>
          </w:p>
        </w:tc>
        <w:tc>
          <w:tcPr>
            <w:tcW w:type="dxa" w:w="5040"/>
          </w:tcPr>
          <w:p>
            <w:pPr>
              <w:spacing w:after="60"/>
            </w:pPr>
            <w:r>
              <w:rPr>
                <w:sz w:val="18"/>
              </w:rPr>
              <w:t>Banking channels are easy to access</w:t>
            </w:r>
          </w:p>
        </w:tc>
      </w:tr>
      <w:tr>
        <w:tc>
          <w:tcPr>
            <w:tcW w:type="dxa" w:w="5040"/>
          </w:tcPr>
          <w:p>
            <w:pPr>
              <w:spacing w:after="60"/>
            </w:pPr>
            <w:r>
              <w:rPr>
                <w:sz w:val="18"/>
              </w:rPr>
              <w:t>d06</w:t>
            </w:r>
          </w:p>
        </w:tc>
        <w:tc>
          <w:tcPr>
            <w:tcW w:type="dxa" w:w="5040"/>
          </w:tcPr>
          <w:p>
            <w:pPr>
              <w:spacing w:after="60"/>
            </w:pPr>
            <w:r>
              <w:rPr>
                <w:sz w:val="18"/>
              </w:rPr>
              <w:t>Fees represent good value</w:t>
            </w:r>
          </w:p>
        </w:tc>
      </w:tr>
    </w:tbl>
    <w:p>
      <w:pPr>
        <w:pStyle w:val="Heading2"/>
      </w:pPr>
      <w:r>
        <w:rPr>
          <w:color w:val="000000"/>
        </w:rPr>
        <w:t>R4 How important is each of these aspects when you judge your main provider?</w:t>
      </w:r>
    </w:p>
    <w:p>
      <w:pPr>
        <w:keepNext/>
      </w:pPr>
      <w:r>
        <w:t>Response: Importance grid. Ask: all.</w:t>
      </w:r>
    </w:p>
    <w:p>
      <w:r>
        <w:t>Codes and programming: importance_d01–d06 using the same aspects: 1 Not important; 2 Slightly; 3 Moderately; 4 Very; 5 Extremely important; 99 Do not know. Stated importance is not a causal effect.</w:t>
      </w:r>
    </w:p>
    <w:p>
      <w:pPr>
        <w:pStyle w:val="Heading2"/>
      </w:pPr>
      <w:r>
        <w:rPr>
          <w:color w:val="000000"/>
        </w:rPr>
        <w:t>R5 To what extent do you agree that [COMPANY] treats customers fairly and is trustworthy?</w:t>
      </w:r>
    </w:p>
    <w:p>
      <w:pPr>
        <w:keepNext/>
      </w:pPr>
      <w:r>
        <w:t>Response: Two-item agreement grid. Ask: all.</w:t>
      </w:r>
    </w:p>
    <w:p>
      <w:r>
        <w:t>Codes and programming: fairness5 and trust5: 1 Strongly disagree to 5 Strongly agree; 99 Do not know. Do not label the agreement top two as CSAT.</w:t>
      </w:r>
    </w:p>
    <w:p>
      <w:pPr>
        <w:pStyle w:val="Heading1"/>
      </w:pPr>
      <w:r>
        <w:rPr>
          <w:color w:val="000000"/>
        </w:rPr>
        <w:t>Loyalty switching and complaints</w:t>
      </w:r>
    </w:p>
    <w:p>
      <w:pPr>
        <w:pStyle w:val="Heading2"/>
      </w:pPr>
      <w:r>
        <w:rPr>
          <w:color w:val="000000"/>
        </w:rPr>
        <w:t>L1 How likely are you to recommend [COMPANY] to a friend or colleague?</w:t>
      </w:r>
    </w:p>
    <w:p>
      <w:pPr>
        <w:keepNext/>
      </w:pPr>
      <w:r>
        <w:t>Response: 0–10 likelihood. Ask: all.</w:t>
      </w:r>
    </w:p>
    <w:p>
      <w:r>
        <w:t>Codes and programming: recommend_0to10: 0 Not at all likely; 10 Extremely likely; 99 Do not know. NPS = %9–10 minus %0–6, using all valid 0–10 respondents including passives 7–8 in the denominator (Bain &amp; Company, n.d.).</w:t>
      </w:r>
    </w:p>
    <w:p>
      <w:pPr>
        <w:pStyle w:val="Heading2"/>
      </w:pPr>
      <w:r>
        <w:rPr>
          <w:color w:val="000000"/>
        </w:rPr>
        <w:t>L2 Do you expect to continue using [COMPANY] as your main provider in the next 12 months?</w:t>
      </w:r>
    </w:p>
    <w:p>
      <w:pPr>
        <w:keepNext/>
      </w:pPr>
      <w:r>
        <w:t>Response: Five-point intention. Ask: all.</w:t>
      </w:r>
    </w:p>
    <w:p>
      <w:r>
        <w:t>Codes and programming: continue5: 1 Definitely not; 2 Probably not; 3 Might or might not; 4 Probably yes; 5 Definitely yes; 99 Do not know. This is stated retention intention, not observed retention.</w:t>
      </w:r>
    </w:p>
    <w:p>
      <w:pPr>
        <w:pStyle w:val="Heading2"/>
      </w:pPr>
      <w:r>
        <w:rPr>
          <w:color w:val="000000"/>
        </w:rPr>
        <w:t>L3 How likely are you to switch your main provider in the next 12 months?</w:t>
      </w:r>
    </w:p>
    <w:p>
      <w:pPr>
        <w:keepNext/>
      </w:pPr>
      <w:r>
        <w:t>Response: 0–10 likelihood. Ask: all.</w:t>
      </w:r>
    </w:p>
    <w:p>
      <w:r>
        <w:t>Codes and programming: switch_0to10: 0 Not at all likely; 10 Extremely likely; 99 Do not know. A high score means higher risk. Demonstration high-risk threshold is 8–10, not an industry norm.</w:t>
      </w:r>
    </w:p>
    <w:p>
      <w:pPr>
        <w:pStyle w:val="Heading2"/>
      </w:pPr>
      <w:r>
        <w:rPr>
          <w:color w:val="000000"/>
        </w:rPr>
        <w:t>L4 Do you agree that you would switch for a better price or fees, and that you intend to use more of this company’s services?</w:t>
      </w:r>
    </w:p>
    <w:p>
      <w:pPr>
        <w:keepNext/>
      </w:pPr>
      <w:r>
        <w:t>Response: Two-item agreement grid. Ask: all.</w:t>
      </w:r>
    </w:p>
    <w:p>
      <w:r>
        <w:t>Codes and programming: price_switch5 and grow_business5, 1 Strongly disagree to 5 Strongly agree; 99 Do not know. The two items have different favourable directions. Do not combine without a declared reverse-coding rule.</w:t>
      </w:r>
    </w:p>
    <w:p>
      <w:pPr>
        <w:pStyle w:val="Heading2"/>
      </w:pPr>
      <w:r>
        <w:rPr>
          <w:color w:val="000000"/>
        </w:rPr>
        <w:t>L5 What is the main reason for your overall company rating?</w:t>
      </w:r>
    </w:p>
    <w:p>
      <w:pPr>
        <w:keepNext/>
      </w:pPr>
      <w:r>
        <w:t>Response: Open text. Ask: all.</w:t>
      </w:r>
    </w:p>
    <w:p>
      <w:r>
        <w:t>Codes and programming: company_reason_text. Synthetic verbatims are fictional examples. Do not invent quotes in later reporting.</w:t>
      </w:r>
    </w:p>
    <w:p>
      <w:pPr>
        <w:pStyle w:val="Heading2"/>
        <w:keepNext/>
      </w:pPr>
      <w:r>
        <w:rPr>
          <w:color w:val="000000"/>
        </w:rPr>
        <w:t>L6 Thinking about your experiences with [COMPANY] in the past three months or since joining if shorter, do they give you a reason to choose it over another provider?</w:t>
      </w:r>
    </w:p>
    <w:p>
      <w:pPr>
        <w:keepNext/>
      </w:pPr>
      <w:r>
        <w:t>Ask: all current customers; before the channel detail module.</w:t>
      </w:r>
    </w:p>
    <w:p>
      <w:pPr/>
      <w:r>
        <w:t>Codes and programming: experience_preference5. 1 Strongly disagree; 2 Disagree; 3 Neither agree nor disagree; 4 Agree; 5 Strongly agree; 99 Do not know. This is stated experience-led preference, not demonstrated choice or a causal effect.</w:t>
      </w:r>
    </w:p>
    <w:p>
      <w:pPr>
        <w:pStyle w:val="Heading2"/>
        <w:keepNext/>
      </w:pPr>
      <w:r>
        <w:rPr>
          <w:color w:val="000000"/>
        </w:rPr>
        <w:t>L7 Why do you currently keep using [COMPANY]? Select all that apply.</w:t>
      </w:r>
    </w:p>
    <w:p>
      <w:pPr>
        <w:keepNext/>
      </w:pPr>
      <w:r>
        <w:t>Ask: all current customers, including those considering leaving.</w:t>
      </w:r>
    </w:p>
    <w:p>
      <w:pPr/>
      <w:r>
        <w:t>Codes and programming: stay_reason_r01 Genuine preference; r02 Habit or familiarity; r03 Contractual restriction or exit charge; r04 Time effort or inconvenience of switching; r05 Lack of suitable alternatives; r06 Other reason. Each 1 Selected / 0 Not selected. stay_none and stay_dk are separate exclusive 0/1 flags for None of these and Do not know. At least one reason, None or Do not know is required. Randomise the six substantive options; keep exclusive options last.</w:t>
      </w:r>
    </w:p>
    <w:p>
      <w:pPr>
        <w:pStyle w:val="Heading2"/>
        <w:keepNext/>
      </w:pPr>
      <w:r>
        <w:rPr>
          <w:color w:val="000000"/>
        </w:rPr>
        <w:t>L8 Which is the main reason you currently keep using [COMPANY]?</w:t>
      </w:r>
    </w:p>
    <w:p>
      <w:pPr>
        <w:keepNext/>
      </w:pPr>
      <w:r>
        <w:t>Ask: if L7 has substantive selections, show only those selected; otherwise carry forward the exclusive answer.</w:t>
      </w:r>
    </w:p>
    <w:p>
      <w:pPr/>
      <w:r>
        <w:t>Codes and programming: stay_primary 1–6 matching L7; 97 None; 99 Do not know. The primary reason must be selected in L7. Do not equate all continuing use with genuine preference.</w:t>
      </w:r>
    </w:p>
    <w:p>
      <w:pPr>
        <w:pStyle w:val="Heading2"/>
      </w:pPr>
      <w:r>
        <w:rPr>
          <w:color w:val="000000"/>
        </w:rPr>
        <w:t>C1 Have you complained to [COMPANY] in the past three months?</w:t>
      </w:r>
    </w:p>
    <w:p>
      <w:pPr>
        <w:keepNext/>
      </w:pPr>
      <w:r>
        <w:t>Response: Yes or no. Ask: all.</w:t>
      </w:r>
    </w:p>
    <w:p>
      <w:r>
        <w:t>Codes and programming: complaint3m 0/1. Not the same as a problem that was never formally raised.</w:t>
      </w:r>
    </w:p>
    <w:p>
      <w:pPr>
        <w:pStyle w:val="Heading2"/>
      </w:pPr>
      <w:r>
        <w:rPr>
          <w:color w:val="000000"/>
        </w:rPr>
        <w:t>C2 What was that complaint about?</w:t>
      </w:r>
    </w:p>
    <w:p>
      <w:pPr>
        <w:keepNext/>
      </w:pPr>
      <w:r>
        <w:t>Response: Multiple response. Ask: complaint3m=1.</w:t>
      </w:r>
    </w:p>
    <w:p>
      <w:r>
        <w:t>Codes and programming: complaint_reason_r01–r06: Fees or charges; Payment or access failure; Fraud or security concern; Poor service; Unclear information; Other. Blank if no complaint. 0 is valid nonselection in asked rows.</w:t>
      </w:r>
    </w:p>
    <w:p>
      <w:pPr>
        <w:pStyle w:val="Heading2"/>
      </w:pPr>
      <w:r>
        <w:rPr>
          <w:color w:val="000000"/>
        </w:rPr>
        <w:t>C3 Was your most recent complaint resolved, and how satisfied are you with its handling?</w:t>
      </w:r>
    </w:p>
    <w:p>
      <w:pPr>
        <w:keepNext/>
      </w:pPr>
      <w:r>
        <w:t>Response: Single response plus satisfaction. Ask: complaint3m=1.</w:t>
      </w:r>
    </w:p>
    <w:p>
      <w:r>
        <w:t>Codes and programming: complaint_resolution: 1 Fully; 2 Partly; 3 Unresolved; 9 Still in progress. complaint_handling_csat5 uses R1 anchors. Blank for non-complainants. Do not treat 9 as globally missing.</w:t>
      </w:r>
    </w:p>
    <w:p>
      <w:pPr>
        <w:pStyle w:val="Heading1"/>
      </w:pPr>
      <w:r>
        <w:rPr>
          <w:color w:val="000000"/>
        </w:rPr>
        <w:t>Recent channel use screen</w:t>
      </w:r>
    </w:p>
    <w:p>
      <w:pPr>
        <w:pStyle w:val="Heading2"/>
      </w:pPr>
      <w:r>
        <w:rPr>
          <w:color w:val="000000"/>
        </w:rPr>
        <w:t>CH1 Which channels have you used with [COMPANY] in the past 30 days?</w:t>
      </w:r>
    </w:p>
    <w:p>
      <w:pPr>
        <w:keepNext/>
      </w:pPr>
      <w:r>
        <w:t>Response: Multiple response. Ask: all.</w:t>
      </w:r>
    </w:p>
    <w:p>
      <w:r>
        <w:t>Codes and programming: channel_used_c01–c04: Call centre; Branch; Digital self service; Messaging or live chat. None exclusive. Digital includes app or website self service, not a staff-assisted chat. A messaging interaction is separate from general social-media use.</w:t>
      </w:r>
    </w:p>
    <w:p>
      <w:pPr>
        <w:pStyle w:val="Heading2"/>
      </w:pPr>
      <w:r>
        <w:rPr>
          <w:color w:val="000000"/>
        </w:rPr>
        <w:t>CH2 How many interactions have you had through each selected channel?</w:t>
      </w:r>
    </w:p>
    <w:p>
      <w:pPr>
        <w:keepNext/>
      </w:pPr>
      <w:r>
        <w:t>Response: Numeric counts. Ask: channel selected.</w:t>
      </w:r>
    </w:p>
    <w:p>
      <w:r>
        <w:t>Codes and programming: channel_contacts_cXX &gt;=1, other channels 0. These are recalled interaction counts. The event file stores only the most recent in each channel, not every contact.</w:t>
      </w:r>
    </w:p>
    <w:p>
      <w:pPr>
        <w:pStyle w:val="Heading1"/>
        <w:keepNext/>
      </w:pPr>
      <w:r>
        <w:rPr>
          <w:color w:val="000000"/>
        </w:rPr>
        <w:t>Recent task journey and competitive context</w:t>
      </w:r>
    </w:p>
    <w:p>
      <w:pPr/>
      <w:r>
        <w:t>Ask this module once per customer after CH1–CH2, before any per-channel detail. It is an independently anchored task, not a merge of the latest interaction in every channel. The respondent selects the task they most recently started in the past 30 days and includes all contacts about that same task. Latest channel experiences may concern different tasks. Store this module only in the Relationship record.</w:t>
      </w:r>
    </w:p>
    <w:p>
      <w:pPr>
        <w:pStyle w:val="Heading2"/>
        <w:keepNext/>
      </w:pPr>
      <w:r>
        <w:rPr>
          <w:color w:val="000000"/>
        </w:rPr>
        <w:t>J1 Have you started or attempted a specific service task with [COMPANY] in the past 30 days?</w:t>
      </w:r>
    </w:p>
    <w:p>
      <w:pPr>
        <w:keepNext/>
      </w:pPr>
      <w:r>
        <w:t>Ask: all current customers.</w:t>
      </w:r>
    </w:p>
    <w:p>
      <w:pPr/>
      <w:r>
        <w:t>Codes and programming: journey_recent30 0 No / 1 Yes. If No, skip J2–J8 and B1–B3. If CH1 reports no channel use, confirm the screen rather than inventing a journey.</w:t>
      </w:r>
    </w:p>
    <w:p>
      <w:pPr>
        <w:pStyle w:val="Heading2"/>
      </w:pPr>
      <w:r>
        <w:t>J2a What was the specific task you most recently started in the past 30 days?</w:t>
      </w:r>
    </w:p>
    <w:p>
      <w:r>
        <w:t>Codes and programming: Ask journey_recent30=1. journey_task uses E1 primary_reason codes. Keep this task fixed through J8. Assign a new anonymous journey_id; it is not a latest-channel experience ID.</w:t>
      </w:r>
    </w:p>
    <w:p>
      <w:pPr>
        <w:pStyle w:val="Heading2"/>
      </w:pPr>
      <w:r>
        <w:t>J2b How many days ago did you first contact the provider about this task?</w:t>
      </w:r>
    </w:p>
    <w:p>
      <w:r>
        <w:t>Codes and programming: journey_start_days_ago, integer 0–30. Ask journey_recent30=1.</w:t>
      </w:r>
    </w:p>
    <w:p>
      <w:pPr>
        <w:pStyle w:val="Heading2"/>
      </w:pPr>
      <w:r>
        <w:t>J2c How many days ago did you most recently contact the provider about this same task?</w:t>
      </w:r>
    </w:p>
    <w:p>
      <w:r>
        <w:t>Codes and programming: journey_last_days_ago, integer 0–30 and no greater than journey_start_days_ago. Ask journey_recent30=1.</w:t>
      </w:r>
    </w:p>
    <w:p>
      <w:pPr>
        <w:pStyle w:val="Heading2"/>
      </w:pPr>
      <w:r>
        <w:t>J3a Which channels did you use for this same task?</w:t>
      </w:r>
    </w:p>
    <w:p>
      <w:r>
        <w:t>Codes and programming: Ask journey_recent30=1. journey_channel_c01–c04 match CH1 codes; each 1 Used / 0 Not used. Select at least one. Every selected channel must also be used in CH1. journey_multichannel is derived from two or more distinct selected channels.</w:t>
      </w:r>
    </w:p>
    <w:p>
      <w:pPr>
        <w:pStyle w:val="Heading2"/>
      </w:pPr>
      <w:r>
        <w:t>J3b For digital self service on this task did you use an app, a website or both?</w:t>
      </w:r>
    </w:p>
    <w:p>
      <w:r>
        <w:t>Codes and programming: Ask only journey_channel_c03=1. journey_digital_mode: 1 App; 2 Website; 3 Both app and website. Otherwise blank.</w:t>
      </w:r>
    </w:p>
    <w:p>
      <w:pPr>
        <w:pStyle w:val="Heading2"/>
      </w:pPr>
      <w:r>
        <w:t>J3c In what order did you use those channels for this same task, including repeat contacts?</w:t>
      </w:r>
    </w:p>
    <w:p>
      <w:r>
        <w:t>Codes and programming: Ask journey_recent30=1. journey_sequence stores ordered CH1 channel codes joined by &gt;. Each entry is one contact, including repetitions. Its distinct channels must match J3a. Do not use the separate latest-experience rows to invent this sequence.</w:t>
      </w:r>
    </w:p>
    <w:p>
      <w:pPr>
        <w:pStyle w:val="Heading2"/>
      </w:pPr>
      <w:r>
        <w:t>J3d How many contacts in total did you make about this same task?</w:t>
      </w:r>
    </w:p>
    <w:p>
      <w:r>
        <w:t>Codes and programming: Ask journey_recent30=1. journey_contacts is an integer at least 1; confirm that it matches the J3c sequence length. Contacts in each channel cannot exceed the corresponding CH2 count. Resolve contradictions by rechecking answers, not silently altering original data.</w:t>
      </w:r>
    </w:p>
    <w:p>
      <w:pPr>
        <w:pStyle w:val="Heading2"/>
      </w:pPr>
      <w:r>
        <w:t>J4a During this task were you transferred or directed to another team or channel?</w:t>
      </w:r>
    </w:p>
    <w:p>
      <w:r>
        <w:t>Codes and programming: Ask journey_recent30=1. journey_transferred: 0 No; 1 Yes; 99 Do not know. Ask directly; a transfer within a call can occur even when counted as one contact. This is distinct from the latest-call transferred item.</w:t>
      </w:r>
    </w:p>
    <w:p>
      <w:pPr>
        <w:pStyle w:val="Heading2"/>
      </w:pPr>
      <w:r>
        <w:t>J4b During this task were you required to repeat information you had already provided?</w:t>
      </w:r>
    </w:p>
    <w:p>
      <w:r>
        <w:t>Codes and programming: Ask journey_recent30=1. journey_repeat_info: 0 No; 1 Yes; 99 Do not know. This includes repetition within or between contacts. Do not infer the answer from the number of contacts.</w:t>
      </w:r>
    </w:p>
    <w:p>
      <w:pPr>
        <w:pStyle w:val="Heading2"/>
        <w:keepNext/>
      </w:pPr>
      <w:r>
        <w:rPr>
          <w:color w:val="000000"/>
        </w:rPr>
        <w:t>J5 At the time of this interview, what was the overall outcome of that same task?</w:t>
      </w:r>
    </w:p>
    <w:p>
      <w:pPr>
        <w:keepNext/>
      </w:pPr>
      <w:r>
        <w:t>Ask: journey_recent30=1.</w:t>
      </w:r>
    </w:p>
    <w:p>
      <w:pPr/>
      <w:r>
        <w:t>Codes and programming: journey_status: 1 Completed; 2 Partly completed; 3 Unresolved or abandoned; 9 Still pending. journey_completed is derived 1 for status 1, 0 for statuses 2–3, blank for pending. Always show the pending share separately; do not silently class pending as failure or success.</w:t>
      </w:r>
    </w:p>
    <w:p>
      <w:pPr>
        <w:pStyle w:val="Heading2"/>
        <w:keepNext/>
      </w:pPr>
      <w:r>
        <w:rPr>
          <w:color w:val="000000"/>
        </w:rPr>
        <w:t>J6 Considering the whole task across all its contacts and channels, how satisfied are you?</w:t>
      </w:r>
    </w:p>
    <w:p>
      <w:pPr>
        <w:keepNext/>
      </w:pPr>
      <w:r>
        <w:t>Ask: journey_recent30=1.</w:t>
      </w:r>
    </w:p>
    <w:p>
      <w:pPr/>
      <w:r>
        <w:t>Codes and programming: journey_csat5. 1 Very dissatisfied; 2 Dissatisfied; 3 Neither satisfied nor dissatisfied; 4 Satisfied; 5 Very satisfied; 99 Do not know. This end-to-end rating is distinct from individual channel CSAT.</w:t>
      </w:r>
    </w:p>
    <w:p>
      <w:pPr>
        <w:pStyle w:val="Heading2"/>
      </w:pPr>
      <w:r>
        <w:t>J7a How much did this whole task leave you feeling reassured?</w:t>
      </w:r>
    </w:p>
    <w:p>
      <w:r>
        <w:t>Codes and programming: journey_reassured5. 1 Not at all; 2 A little; 3 Moderately; 4 Very; 5 Extremely; 99 Do not know. Ask journey_recent30=1. Mixed emotions are allowed; no combined net score.</w:t>
      </w:r>
    </w:p>
    <w:p>
      <w:pPr>
        <w:pStyle w:val="Heading2"/>
      </w:pPr>
      <w:r>
        <w:t>J7b How much did this whole task leave you feeling valued?</w:t>
      </w:r>
    </w:p>
    <w:p>
      <w:r>
        <w:t>Codes and programming: journey_valued5. 1 Not at all; 2 A little; 3 Moderately; 4 Very; 5 Extremely; 99 Do not know. Ask journey_recent30=1. Mixed emotions are allowed; no combined net score.</w:t>
      </w:r>
    </w:p>
    <w:p>
      <w:pPr>
        <w:pStyle w:val="Heading2"/>
      </w:pPr>
      <w:r>
        <w:t>J7c How much did this whole task leave you feeling frustrated?</w:t>
      </w:r>
    </w:p>
    <w:p>
      <w:r>
        <w:t>Codes and programming: journey_frustrated5. 1 Not at all; 2 A little; 3 Moderately; 4 Very; 5 Extremely; 99 Do not know. Ask journey_recent30=1. Mixed emotions are allowed; no combined net score.</w:t>
      </w:r>
    </w:p>
    <w:p>
      <w:pPr>
        <w:pStyle w:val="Heading2"/>
      </w:pPr>
      <w:r>
        <w:t>J7d How much did this whole task leave you feeling anxious?</w:t>
      </w:r>
    </w:p>
    <w:p>
      <w:r>
        <w:t>Codes and programming: journey_anxious5. 1 Not at all; 2 A little; 3 Moderately; 4 Very; 5 Extremely; 99 Do not know. Ask journey_recent30=1. Mixed emotions are allowed; no combined net score.</w:t>
      </w:r>
    </w:p>
    <w:p>
      <w:pPr>
        <w:pStyle w:val="Heading2"/>
      </w:pPr>
      <w:r>
        <w:t>J7e What about this whole task made you feel that way?</w:t>
      </w:r>
    </w:p>
    <w:p>
      <w:r>
        <w:t>Codes and programming: Ask journey_recent30=1. journey_emotion_why_text, open text without identifiers. Supplied examples are synthetic.</w:t>
      </w:r>
    </w:p>
    <w:p>
      <w:pPr>
        <w:pStyle w:val="Heading2"/>
        <w:keepNext/>
      </w:pPr>
      <w:r>
        <w:rPr>
          <w:color w:val="000000"/>
        </w:rPr>
        <w:t>J8 Does this whole task experience give you a reason to choose [COMPANY] over another provider?</w:t>
      </w:r>
    </w:p>
    <w:p>
      <w:pPr>
        <w:keepNext/>
      </w:pPr>
      <w:r>
        <w:t>Ask: journey_recent30=1.</w:t>
      </w:r>
    </w:p>
    <w:p>
      <w:pPr/>
      <w:r>
        <w:t>Codes and programming: journey_preference5. 1 Strongly disagree; 2 Disagree; 3 Neither agree nor disagree; 4 Agree; 5 Strongly agree; 99 Do not know.</w:t>
      </w:r>
    </w:p>
    <w:p>
      <w:pPr>
        <w:pStyle w:val="Heading2"/>
        <w:keepNext/>
      </w:pPr>
      <w:r>
        <w:rPr>
          <w:color w:val="000000"/>
        </w:rPr>
        <w:t>B1 In the past 30 days have you personally attempted the same type of task with another provider?</w:t>
      </w:r>
    </w:p>
    <w:p>
      <w:pPr>
        <w:keepNext/>
      </w:pPr>
      <w:r>
        <w:t>Ask: journey_recent30=1. Do not treat awareness or consideration as use.</w:t>
      </w:r>
    </w:p>
    <w:p>
      <w:pPr/>
      <w:r>
        <w:t>Codes and programming: benchmark_recent_same_task30: 0 No; 1 Yes; 99 Do not know. If No or Do not know, leave B2–B3 blank and display Not measured for the comparison.</w:t>
      </w:r>
    </w:p>
    <w:p>
      <w:pPr>
        <w:pStyle w:val="Heading2"/>
      </w:pPr>
      <w:r>
        <w:t>B2a Which other provider did you personally use for that comparable task?</w:t>
      </w:r>
    </w:p>
    <w:p>
      <w:r>
        <w:t>Codes and programming: Ask benchmark_recent_same_task30=1. benchmark_provider uses existing company codes and must differ from company. If several, select the most recent comparable task.</w:t>
      </w:r>
    </w:p>
    <w:p>
      <w:pPr>
        <w:pStyle w:val="Heading2"/>
      </w:pPr>
      <w:r>
        <w:t>B2b What type of task did you personally attempt with that other provider?</w:t>
      </w:r>
    </w:p>
    <w:p>
      <w:r>
        <w:t>Codes and programming: Ask benchmark_recent_same_task30=1. benchmark_task uses E1 reason codes and must equal journey_task. If it differs, do not collect B3 as a comparable benchmark; recheck B1.</w:t>
      </w:r>
    </w:p>
    <w:p>
      <w:pPr>
        <w:pStyle w:val="Heading2"/>
      </w:pPr>
      <w:r>
        <w:t>B2c How many days ago was your most recent contact with that other provider about the task?</w:t>
      </w:r>
    </w:p>
    <w:p>
      <w:r>
        <w:t>Codes and programming: Ask benchmark_recent_same_task30=1. benchmark_days_ago, integer 0–30. If outside the window, comparison is Not measured.</w:t>
      </w:r>
    </w:p>
    <w:p>
      <w:pPr>
        <w:pStyle w:val="Heading2"/>
      </w:pPr>
      <w:r>
        <w:t>B2d Which channel did you use for that other provider task experience?</w:t>
      </w:r>
    </w:p>
    <w:p>
      <w:r>
        <w:t>Codes and programming: Ask benchmark_recent_same_task30=1. benchmark_channel uses original channel codes. A channel-specific comparison additionally requires a single-channel main-provider journey using this same channel.</w:t>
      </w:r>
    </w:p>
    <w:p>
      <w:pPr>
        <w:pStyle w:val="Heading2"/>
        <w:keepNext/>
      </w:pPr>
      <w:r>
        <w:rPr>
          <w:color w:val="000000"/>
        </w:rPr>
        <w:t>B3 Considering that whole task with [OTHER PROVIDER], how satisfied were you?</w:t>
      </w:r>
    </w:p>
    <w:p>
      <w:pPr>
        <w:keepNext/>
      </w:pPr>
      <w:r>
        <w:t>Ask: B2 confirms a comparable personally experienced task.</w:t>
      </w:r>
    </w:p>
    <w:p>
      <w:pPr/>
      <w:r>
        <w:t>Codes and programming: benchmark_csat5. 1 Very dissatisfied; 2 Dissatisfied; 3 Neither satisfied nor dissatisfied; 4 Satisfied; 5 Very satisfied; 99 Do not know. benchmark_gap5 = journey_csat5 minus benchmark_csat5 only when both are valid 1–5. Positive favours the main provider. Report paired raw and weighted bases. Channel-specific comparisons additionally require a single-channel journey and the same benchmark channel. This is descriptive recalled evidence, not a causal provider effect.</w:t>
      </w:r>
    </w:p>
    <w:p>
      <w:pPr>
        <w:pStyle w:val="Heading1"/>
      </w:pPr>
      <w:r>
        <w:rPr>
          <w:color w:val="000000"/>
        </w:rPr>
        <w:t>Demographics and safeguards</w:t>
      </w:r>
    </w:p>
    <w:p>
      <w:pPr>
        <w:pStyle w:val="Heading2"/>
      </w:pPr>
      <w:r>
        <w:rPr>
          <w:color w:val="000000"/>
        </w:rPr>
        <w:t>D1 How do you describe your gender?</w:t>
      </w:r>
    </w:p>
    <w:p>
      <w:pPr>
        <w:keepNext/>
      </w:pPr>
      <w:r>
        <w:t>Response: Single response. Ask: all.</w:t>
      </w:r>
    </w:p>
    <w:p>
      <w:r>
        <w:t>Codes and programming: 1 Man; 2 Woman; 3 Another identity; 4 Prefer not to say.</w:t>
      </w:r>
    </w:p>
    <w:p>
      <w:pPr>
        <w:pStyle w:val="Heading2"/>
      </w:pPr>
      <w:r>
        <w:rPr>
          <w:color w:val="000000"/>
        </w:rPr>
        <w:t>D2 Which province do you live in?</w:t>
      </w:r>
    </w:p>
    <w:p>
      <w:pPr>
        <w:keepNext/>
      </w:pPr>
      <w:r>
        <w:t>Response: Single response. Ask: all.</w:t>
      </w:r>
    </w:p>
    <w:p>
      <w:r>
        <w:t>Codes and programming: 1 Gauteng; 2 KwaZulu-Natal; 3 Western Cape; 4 Eastern Cape; 5 Limpopo; 6 Mpumalanga; 7 North West; 8 Free State; 9 Northern Cape.</w:t>
      </w:r>
    </w:p>
    <w:p>
      <w:pPr>
        <w:pStyle w:val="Heading2"/>
      </w:pPr>
      <w:r>
        <w:rPr>
          <w:color w:val="000000"/>
        </w:rPr>
        <w:t>D3 What is your monthly household income before tax?</w:t>
      </w:r>
    </w:p>
    <w:p>
      <w:pPr>
        <w:keepNext/>
      </w:pPr>
      <w:r>
        <w:t>Response: Single response. Ask: all.</w:t>
      </w:r>
    </w:p>
    <w:p>
      <w:r>
        <w:t>Codes and programming: 1 Below R15,000; 2 R15,000–R29,999; 3 R30,000–R49,999; 4 R50,000–R79,999; 5 R80,000 or more; 99 Prefer not to say.</w:t>
      </w:r>
    </w:p>
    <w:p>
      <w:pPr>
        <w:pStyle w:val="Heading2"/>
      </w:pPr>
      <w:r>
        <w:rPr>
          <w:color w:val="000000"/>
        </w:rPr>
        <w:t>D4 Which best describes where you live?</w:t>
      </w:r>
    </w:p>
    <w:p>
      <w:pPr>
        <w:keepNext/>
      </w:pPr>
      <w:r>
        <w:t>Response: Single response. Ask: all.</w:t>
      </w:r>
    </w:p>
    <w:p>
      <w:r>
        <w:t>Codes and programming: 1 Metro or city; 2 Town; 3 Rural area. Segment is a separate synthetic demonstration segment, not a validated socioeconomic or life-stage classification.</w:t>
      </w:r>
    </w:p>
    <w:p>
      <w:r>
        <w:t>Do not record personal identifiers or callback permission linked to real details in these fixtures. Repeated waves use independent people, so switching and retention remain intentions. A true churn study would need longitudinal customer outcomes and consented linkage. Preserve questions and scale direction across waves. Historical 0–10 results require their original definitions, not a made-up conversion to top two on five points.</w:t>
      </w:r>
    </w:p>
    <w:p>
      <w:pPr>
        <w:pStyle w:val="Heading1"/>
      </w:pPr>
      <w:r>
        <w:rPr>
          <w:color w:val="000000"/>
        </w:rPr>
        <w:t>References</w:t>
      </w:r>
    </w:p>
    <w:p>
      <w:pPr>
        <w:ind w:left="360" w:hanging="360"/>
      </w:pPr>
      <w:r>
        <w:t xml:space="preserve">American Customer Satisfaction Index. (n.d.). </w:t>
      </w:r>
      <w:r>
        <w:rPr>
          <w:i/>
        </w:rPr>
        <w:t>The science of customer satisfaction.</w:t>
      </w:r>
      <w:r>
        <w:t xml:space="preserve">  https://theacsi.com/company/the-science-of-customer-satisfaction/</w:t>
      </w:r>
    </w:p>
    <w:p>
      <w:pPr>
        <w:ind w:left="360" w:hanging="360"/>
      </w:pPr>
      <w:r>
        <w:t xml:space="preserve">Qualtrics. (2024, February 27). </w:t>
      </w:r>
      <w:r>
        <w:rPr>
          <w:i/>
        </w:rPr>
        <w:t>Customer experience metrics How to measure CX.</w:t>
      </w:r>
      <w:r>
        <w:t xml:space="preserve">  https://www.qualtrics.com/en-au/articles/customer-experience/customer-experience-measurement-metrics/</w:t>
      </w:r>
    </w:p>
    <w:p>
      <w:pPr>
        <w:ind w:left="360" w:hanging="360"/>
      </w:pPr>
      <w:r>
        <w:t xml:space="preserve">Parasuraman, A., Zeithaml, V. A., &amp; Berry, L. L. (1988). </w:t>
      </w:r>
      <w:r>
        <w:rPr>
          <w:i/>
        </w:rPr>
        <w:t>SERVQUAL A multiple-item scale for measuring consumer perceptions of service quality.</w:t>
      </w:r>
      <w:r>
        <w:t xml:space="preserve"> Journal of Retailing, 64(1), 12–40. Accessible repository copy. https://zenodo.org/records/14579730</w:t>
      </w:r>
    </w:p>
    <w:p>
      <w:pPr>
        <w:ind w:left="360" w:hanging="360"/>
      </w:pPr>
      <w:r>
        <w:t xml:space="preserve">Bain &amp; Company. (n.d.). </w:t>
      </w:r>
      <w:r>
        <w:rPr>
          <w:i/>
        </w:rPr>
        <w:t>Measuring your Net Promoter Score.</w:t>
      </w:r>
      <w:r>
        <w:t xml:space="preserve">  https://www.netpromotersystem.com/about/measuring-your-net-promoter-score/</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Customer satisfaction tracking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7"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20" w:after="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