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South African banking Claude implementation instructions</w:t>
      </w:r>
    </w:p>
    <w:p>
      <w:r>
        <w:t>Written handoff only. Extend the existing dashboard to read the expanded CSM files without redesigning its font, layout or navigation conventions. Retain #2563eb as the accent. No app has been changed and Claude has not been contacted. These instructions are for a later explicitly authorised implementation.</w:t>
      </w:r>
    </w:p>
    <w:p>
      <w:pPr>
        <w:pStyle w:val="Heading1"/>
      </w:pPr>
      <w:r>
        <w:t>Preserve the existing application</w:t>
      </w:r>
    </w:p>
    <w:p>
      <w:pPr/>
      <w:r>
        <w:t>Do not rebuild the application, change its font family, replace its layout, add a new visual theme, rename existing working views or alter the original CSM metric definitions. Extend the current components and import flow. Keep original dataset IDs, column meanings, company codes, missing conventions and customer/channel separation. Add new sections within the established navigation patterns, using the same table, filter and chart components.</w:t>
      </w:r>
    </w:p>
    <w:p>
      <w:pPr>
        <w:pStyle w:val="Heading1"/>
      </w:pPr>
      <w:r>
        <w:t>Import contract and keys</w:t>
      </w:r>
    </w:p>
    <w:p>
      <w:pPr/>
      <w:r>
        <w:t>Import the first data sheet only: Respondents in Relationship workbooks, Experiences in Channel workbooks and Noncustomers in the new supplemental workbooks. Embedded Codebook, Labels and MR sets are authoritative metadata. The optional test-reference JSON/CSV files and CSM_Reference_Metrics.xlsx are test fixtures, not required application inputs and not respondent records. Missing optional JSON must not block normal XLSX import.</w:t>
      </w:r>
    </w:p>
    <w:p>
      <w:pPr/>
      <w:r>
        <w:t>Key current customers by study + sector + wave + respondent_id, preserving text IDs and leading zeroes. Key channel records by that customer key + experience_id; keep channel as a dimension, not the person key. Validate one latest row per customer/channel. Journey fields stay on their single Relationship row. Noncustomers have distinct NC-prefixed IDs and a separate sample_type derived by the importer from the workbook family, not a required source column (Relationship and Channel = Current customers; Noncustomer = Focal noncustomers). Do not coerce IDs to numbers, join on row position, or union the three grains as equivalent people.</w:t>
      </w:r>
    </w:p>
    <w:p>
      <w:pPr/>
      <w:r>
        <w:t>Add a sample_type selector with Current customers and Focal noncustomers. Company ratings use Current customers only. Noncustomer profile uses the supplemental sample only. Never create total-sample prevalence, market share, awareness reach or loyalty by concatenating their rows. Existing relative customer weights remain unchanged; new noncustomers have weight=1. Show both raw base and weighted base.</w:t>
      </w:r>
    </w:p>
    <w:p>
      <w:pPr>
        <w:pStyle w:val="Heading1"/>
      </w:pPr>
      <w:r>
        <w:t>Journey continuity and channels</w:t>
      </w:r>
    </w:p>
    <w:p>
      <w:pPr/>
      <w:r>
        <w:t>Create Journey continuity from journey_recent30=1 Relationship rows. Present journey_task, ordered journey_sequence, journey_contacts, distinct channels, digital mode, completion/partial/unresolved/pending outcomes, transfers, repeated information and overall journey CSAT. A path through app, call centre and branch is supported only by the journey fields and digital mode. Digital self service includes website and must not always be called app.</w:t>
      </w:r>
    </w:p>
    <w:p>
      <w:pPr/>
      <w:r>
        <w:t>Do not infer that the latest call, latest branch visit and latest digital record concern one task. Do not average channel CSAT into journey CSAT. Channel ratings remain in the existing Channel view; adding a journey filter to a customer-level score changes its population and must be labelled. If linking channel details, deduplicate the relationship measure before aggregation. Include pending share beside known-outcome completion.</w:t>
      </w:r>
    </w:p>
    <w:p>
      <w:pPr>
        <w:pStyle w:val="Heading1"/>
      </w:pPr>
      <w:r>
        <w:t>Emotion preference and reasons for staying</w:t>
      </w:r>
    </w:p>
    <w:p>
      <w:pPr/>
      <w:r>
        <w:t>At channel and journey grain, show reassured, valued, frustrated and anxious separately, with 1–5 intensity labels and item-specific valid bases. Do not invert and combine them into an undocumented index. Show the matching emotion explanation; all supplied verbatims are fictional. Use the data text only, not invented quotations.</w:t>
      </w:r>
    </w:p>
    <w:p>
      <w:pPr/>
      <w:r>
        <w:t>experience_preference5, channel_preference5 and journey_preference5 use agreement 1–5. Top two is Agree/Strongly agree, not CSAT. Label them by their recall and grain. Reasons for staying are multiple selections: preference, habit, contractual restriction, switching inconvenience, lack of alternatives and other. None and Do not know are exclusive; primary reason must be one of the selected substantive reasons or the carried exclusive code. Preference and constraint can coexist. Never label all retained customers genuinely loyal.</w:t>
      </w:r>
    </w:p>
    <w:p>
      <w:pPr>
        <w:pStyle w:val="Heading1"/>
      </w:pPr>
      <w:r>
        <w:t>Competitive and noncustomer views</w:t>
      </w:r>
    </w:p>
    <w:p>
      <w:pPr/>
      <w:r>
        <w:t>A customer-level benchmark is available only when benchmark_recent_same_task30=1, the alternative provider differs, task type matches journey_task, recency is 0–30 days and both satisfaction ratings are valid. Calculate the weighted mean of within-person benchmark_gap5. Its unit is scale points. Do not subtract means with different denominators. A channel-specific comparison additionally requires one journey channel matching benchmark_channel. Show eligible raw base, weighted base and missing/noncomparable count.</w:t>
      </w:r>
    </w:p>
    <w:p>
      <w:pPr/>
      <w:r>
        <w:t>Where those requirements fail, show Not measured, not zero, parity or an interpolated score. Task complexity, selection, recency within the window and channel mix can still differ. These comparisons are descriptive; no causal service driver, ROI, churn reduction or ranking claim is supported.</w:t>
      </w:r>
    </w:p>
    <w:p>
      <w:pPr/>
      <w:r>
        <w:t>For noncustomers, enforce current_focal_use=0 and focal_company=1 (FNB), including no secondary focal use. Show focal awareness, gated consideration, expected future service levels and general importance. Never map these expectations into focal CSAT, NPS or experienced performance. Show alternative_csat5 only when alternative_recent30=1 and a personal task, channel and date window are supplied. A respondent may use the sector without being a focal customer.</w:t>
      </w:r>
    </w:p>
    <w:p>
      <w:pPr/>
      <w:r>
        <w:t>Use the same six attribute names and explicit scales where customer performance and noncustomer expectations are shown, but present separate profiles and base labels. Future expectations and retrospective customer performance are not the same period or population, so do not compute an expectations gap or pre/post change by default. No pooled prevalence or market share can be inferred from these quota fixtures.</w:t>
      </w:r>
    </w:p>
    <w:p>
      <w:pPr>
        <w:pStyle w:val="Heading1"/>
      </w:pPr>
      <w:r>
        <w:t>Metric rules and acceptance tests</w:t>
      </w:r>
    </w:p>
    <w:p>
      <w:pPr/>
      <w:r>
        <w:t>Retain original CSAT 1–5, NPS 0–10, ease 1–7 and item-specific missing rules. 99 is labelled nonresponse; blank is structural skip; status 9 remains pending. journey_completed excludes pending and absent journeys. A zero such as no repeat information is a valid answer, not missing. Use raw valid n for low-base warnings. Apply existing low-base rules and disclose them in exported views.</w:t>
      </w:r>
    </w:p>
    <w:p>
      <w:pPr/>
      <w:r>
        <w:t>Before changing production code, run test-reference/validate_pack.py for both sectors. Confirm preserved original arrays and counts using the included preservation report. Compare app aggregates with stored reference results at 0.000001 percentage-point/scale-point tolerance for unrounded values and 0.05 for one-decimal displays. Reference files validate the fixture; they do not establish that the app passes.</w:t>
      </w:r>
    </w:p>
    <w:p>
      <w:pPr/>
      <w:r>
        <w:t>Test all waves and sectors, text IDs, no recent journey, single-channel versus multi-channel paths, mixed emotions, pending outcomes, exclusive staying options, no comparable competitor use, mismatched task/channel, 99 and blank, unaware noncustomers, recent alternative nonusers, missing optional JSON and low-base filters. Confirm changes in filters update both numerator and valid denominator and that adding channel rows does not inflate customer counts.</w:t>
      </w:r>
    </w:p>
    <w:p>
      <w:pPr/>
      <w:r>
        <w:t>Export each view with grain, sample_type, wave, provider, task/period filters, metric definition, valid raw/weighted base and synthetic-data label. Keep errors visible; do not silently substitute zero or fabricated data. Do not claim completion until actual app outputs, original view regressions and visual preservation have been verified in the target app.</w:t>
      </w:r>
    </w:p>
    <w:p>
      <w:pPr>
        <w:pStyle w:val="Heading1"/>
      </w:pPr>
      <w:r>
        <w:t>Authorised scope and unresolved inputs</w:t>
      </w:r>
    </w:p>
    <w:p>
      <w:pPr/>
      <w:r>
        <w:t>This handoff authorises no direct communication, code execution in Claude, deployment, customer contact, fieldwork or application mutation. The current delivery updates files only. Brand-list changes, production recruitment quotas and real-world effect estimates require separate evidence and approval. Existing brands remain unchanged.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Customer satisfaction tracking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