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Banking and telecoms combined CSM analysis and import guide</w:t>
      </w:r>
    </w:p>
    <w:p>
      <w:r>
        <w:t>Use one questionnaire and one respondent-level dataset per wave to measure the overall company relationship and recent channel experiences together. The combined files keep company and journey measures at customer level, with fixed channel blocks, so multi-channel users are never duplicated in company results.</w:t>
      </w:r>
    </w:p>
    <w:p>
      <w:pPr>
        <w:pStyle w:val="Heading1"/>
        <w:pageBreakBefore w:val="0"/>
      </w:pPr>
      <w:r>
        <w:t>Choose the sector and wave</w:t>
      </w:r>
    </w:p>
    <w:p>
      <w:r>
        <w:t>The banking folder contains the banking study. The mobile folder contains mobile telecoms, including retail mobile brands. Each sector contains three independent 1,000-customer waves: February, June and October 2026. The supplied records and verbatims are synthetic demonstrations. They are not population market shares, actual brand performance or a customer panel.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tcMar>
              <w:top w:w="75" w:type="dxa"/>
              <w:left w:w="75" w:type="dxa"/>
              <w:bottom w:w="75" w:type="dxa"/>
              <w:right w:w="75" w:type="dxa"/>
            </w:tcMar>
            <w:shd w:fill="E8EEF3"/>
          </w:tcPr>
          <w:p>
            <w:pPr>
              <w:spacing w:after="60" w:before="60"/>
            </w:pPr>
            <w:r>
              <w:rPr>
                <w:b/>
                <w:sz w:val="20"/>
              </w:rPr>
              <w:t>Purpose</w:t>
            </w:r>
          </w:p>
        </w:tc>
        <w:tc>
          <w:tcPr>
            <w:tcW w:type="dxa" w:w="7560"/>
            <w:vAlign w:val="center"/>
            <w:tcMar>
              <w:top w:w="75" w:type="dxa"/>
              <w:left w:w="75" w:type="dxa"/>
              <w:bottom w:w="75" w:type="dxa"/>
              <w:right w:w="75" w:type="dxa"/>
            </w:tcMar>
            <w:shd w:fill="E8EEF3"/>
          </w:tcPr>
          <w:p>
            <w:pPr>
              <w:spacing w:after="60" w:before="60"/>
            </w:pPr>
            <w:r>
              <w:rPr>
                <w:b/>
                <w:sz w:val="20"/>
              </w:rPr>
              <w:t>File or location within each sector</w:t>
            </w:r>
          </w:p>
        </w:tc>
      </w:tr>
      <w:tr>
        <w:trPr>
          <w:cantSplit/>
        </w:trPr>
        <w:tc>
          <w:tcPr>
            <w:tcW w:type="dxa" w:w="2520"/>
            <w:vAlign w:val="center"/>
            <w:tcMar>
              <w:top w:w="75" w:type="dxa"/>
              <w:left w:w="75" w:type="dxa"/>
              <w:bottom w:w="75" w:type="dxa"/>
              <w:right w:w="75" w:type="dxa"/>
            </w:tcMar>
          </w:tcPr>
          <w:p>
            <w:pPr>
              <w:spacing w:after="60" w:before="60"/>
            </w:pPr>
            <w:r>
              <w:rPr>
                <w:sz w:val="20"/>
              </w:rPr>
              <w:t>Research design</w:t>
            </w:r>
          </w:p>
        </w:tc>
        <w:tc>
          <w:tcPr>
            <w:tcW w:type="dxa" w:w="7560"/>
            <w:vAlign w:val="center"/>
            <w:tcMar>
              <w:top w:w="75" w:type="dxa"/>
              <w:left w:w="75" w:type="dxa"/>
              <w:bottom w:w="75" w:type="dxa"/>
              <w:right w:w="75" w:type="dxa"/>
            </w:tcMar>
          </w:tcPr>
          <w:p>
            <w:pPr>
              <w:spacing w:after="60" w:before="60"/>
            </w:pPr>
            <w:r>
              <w:rPr>
                <w:sz w:val="20"/>
              </w:rPr>
              <w:t>00_Combined_CSM_Research_Brief.docx</w:t>
            </w:r>
          </w:p>
        </w:tc>
      </w:tr>
      <w:tr>
        <w:trPr>
          <w:cantSplit/>
        </w:trPr>
        <w:tc>
          <w:tcPr>
            <w:tcW w:type="dxa" w:w="2520"/>
            <w:vAlign w:val="center"/>
            <w:tcMar>
              <w:top w:w="75" w:type="dxa"/>
              <w:left w:w="75" w:type="dxa"/>
              <w:bottom w:w="75" w:type="dxa"/>
              <w:right w:w="75" w:type="dxa"/>
            </w:tcMar>
          </w:tcPr>
          <w:p>
            <w:pPr>
              <w:spacing w:after="60" w:before="60"/>
            </w:pPr>
            <w:r>
              <w:rPr>
                <w:sz w:val="20"/>
              </w:rPr>
              <w:t>Full routed instrument</w:t>
            </w:r>
          </w:p>
        </w:tc>
        <w:tc>
          <w:tcPr>
            <w:tcW w:type="dxa" w:w="7560"/>
            <w:vAlign w:val="center"/>
            <w:tcMar>
              <w:top w:w="75" w:type="dxa"/>
              <w:left w:w="75" w:type="dxa"/>
              <w:bottom w:w="75" w:type="dxa"/>
              <w:right w:w="75" w:type="dxa"/>
            </w:tcMar>
          </w:tcPr>
          <w:p>
            <w:pPr>
              <w:spacing w:after="60" w:before="60"/>
            </w:pPr>
            <w:r>
              <w:rPr>
                <w:sz w:val="20"/>
              </w:rPr>
              <w:t>01_Combined_CSM_Questionnaire.docx</w:t>
            </w:r>
          </w:p>
        </w:tc>
      </w:tr>
      <w:tr>
        <w:trPr>
          <w:cantSplit/>
        </w:trPr>
        <w:tc>
          <w:tcPr>
            <w:tcW w:type="dxa" w:w="2520"/>
            <w:vAlign w:val="center"/>
            <w:tcMar>
              <w:top w:w="75" w:type="dxa"/>
              <w:left w:w="75" w:type="dxa"/>
              <w:bottom w:w="75" w:type="dxa"/>
              <w:right w:w="75" w:type="dxa"/>
            </w:tcMar>
          </w:tcPr>
          <w:p>
            <w:pPr>
              <w:spacing w:after="60" w:before="60"/>
            </w:pPr>
            <w:r>
              <w:rPr>
                <w:sz w:val="20"/>
              </w:rPr>
              <w:t>Analysis rules</w:t>
            </w:r>
          </w:p>
        </w:tc>
        <w:tc>
          <w:tcPr>
            <w:tcW w:type="dxa" w:w="7560"/>
            <w:vAlign w:val="center"/>
            <w:tcMar>
              <w:top w:w="75" w:type="dxa"/>
              <w:left w:w="75" w:type="dxa"/>
              <w:bottom w:w="75" w:type="dxa"/>
              <w:right w:w="75" w:type="dxa"/>
            </w:tcMar>
          </w:tcPr>
          <w:p>
            <w:pPr>
              <w:spacing w:after="60" w:before="60"/>
            </w:pPr>
            <w:r>
              <w:rPr>
                <w:sz w:val="20"/>
              </w:rPr>
              <w:t>02_Combined_Dashboard_and_Analysis_Guide.docx</w:t>
            </w:r>
          </w:p>
        </w:tc>
      </w:tr>
      <w:tr>
        <w:trPr>
          <w:cantSplit/>
        </w:trPr>
        <w:tc>
          <w:tcPr>
            <w:tcW w:type="dxa" w:w="2520"/>
            <w:vAlign w:val="center"/>
            <w:tcMar>
              <w:top w:w="75" w:type="dxa"/>
              <w:left w:w="75" w:type="dxa"/>
              <w:bottom w:w="75" w:type="dxa"/>
              <w:right w:w="75" w:type="dxa"/>
            </w:tcMar>
          </w:tcPr>
          <w:p>
            <w:pPr>
              <w:spacing w:after="60" w:before="60"/>
            </w:pPr>
            <w:r>
              <w:rPr>
                <w:sz w:val="20"/>
              </w:rPr>
              <w:t>Written future app handoff</w:t>
            </w:r>
          </w:p>
        </w:tc>
        <w:tc>
          <w:tcPr>
            <w:tcW w:type="dxa" w:w="7560"/>
            <w:vAlign w:val="center"/>
            <w:tcMar>
              <w:top w:w="75" w:type="dxa"/>
              <w:left w:w="75" w:type="dxa"/>
              <w:bottom w:w="75" w:type="dxa"/>
              <w:right w:w="75" w:type="dxa"/>
            </w:tcMar>
          </w:tcPr>
          <w:p>
            <w:pPr>
              <w:spacing w:after="60" w:before="60"/>
            </w:pPr>
            <w:r>
              <w:rPr>
                <w:sz w:val="20"/>
              </w:rPr>
              <w:t>03_Claude_Combined_Implementation_Instructions.docx</w:t>
            </w:r>
          </w:p>
        </w:tc>
      </w:tr>
      <w:tr>
        <w:trPr>
          <w:cantSplit/>
        </w:trPr>
        <w:tc>
          <w:tcPr>
            <w:tcW w:type="dxa" w:w="2520"/>
            <w:vAlign w:val="center"/>
            <w:tcMar>
              <w:top w:w="75" w:type="dxa"/>
              <w:left w:w="75" w:type="dxa"/>
              <w:bottom w:w="75" w:type="dxa"/>
              <w:right w:w="75" w:type="dxa"/>
            </w:tcMar>
          </w:tcPr>
          <w:p>
            <w:pPr>
              <w:spacing w:after="60" w:before="60"/>
            </w:pPr>
            <w:r>
              <w:rPr>
                <w:sz w:val="20"/>
              </w:rPr>
              <w:t>Combined customer data</w:t>
            </w:r>
          </w:p>
        </w:tc>
        <w:tc>
          <w:tcPr>
            <w:tcW w:type="dxa" w:w="7560"/>
            <w:vAlign w:val="center"/>
            <w:tcMar>
              <w:top w:w="75" w:type="dxa"/>
              <w:left w:w="75" w:type="dxa"/>
              <w:bottom w:w="75" w:type="dxa"/>
              <w:right w:w="75" w:type="dxa"/>
            </w:tcMar>
          </w:tcPr>
          <w:p>
            <w:pPr>
              <w:spacing w:after="60" w:before="60"/>
            </w:pPr>
            <w:r>
              <w:rPr>
                <w:sz w:val="20"/>
              </w:rPr>
              <w:t>data/Banking_CSM_Combined_Wave_N.xlsx or data/Mobile_CSM_Combined_Wave_N.xlsx; N is 1, 2 or 3. All_Waves files contain the exact 3,000-row concatenation.</w:t>
            </w:r>
          </w:p>
        </w:tc>
      </w:tr>
      <w:tr>
        <w:trPr>
          <w:cantSplit/>
        </w:trPr>
        <w:tc>
          <w:tcPr>
            <w:tcW w:type="dxa" w:w="2520"/>
            <w:vAlign w:val="center"/>
            <w:tcMar>
              <w:top w:w="75" w:type="dxa"/>
              <w:left w:w="75" w:type="dxa"/>
              <w:bottom w:w="75" w:type="dxa"/>
              <w:right w:w="75" w:type="dxa"/>
            </w:tcMar>
          </w:tcPr>
          <w:p>
            <w:pPr>
              <w:spacing w:after="60" w:before="60"/>
            </w:pPr>
            <w:r>
              <w:rPr>
                <w:sz w:val="20"/>
              </w:rPr>
              <w:t>Matching metadata</w:t>
            </w:r>
          </w:p>
        </w:tc>
        <w:tc>
          <w:tcPr>
            <w:tcW w:type="dxa" w:w="7560"/>
            <w:vAlign w:val="center"/>
            <w:tcMar>
              <w:top w:w="75" w:type="dxa"/>
              <w:left w:w="75" w:type="dxa"/>
              <w:bottom w:w="75" w:type="dxa"/>
              <w:right w:w="75" w:type="dxa"/>
            </w:tcMar>
          </w:tcPr>
          <w:p>
            <w:pPr>
              <w:spacing w:after="60" w:before="60"/>
            </w:pPr>
            <w:r>
              <w:rPr>
                <w:sz w:val="20"/>
              </w:rPr>
              <w:t>Master_Combined_CSM_Codebook.xlsx; CSV equivalents Combined_Codebook.csv, Combined_Labels.csv and Combined_MR_Sets.csv</w:t>
            </w:r>
          </w:p>
        </w:tc>
      </w:tr>
      <w:tr>
        <w:trPr>
          <w:cantSplit/>
        </w:trPr>
        <w:tc>
          <w:tcPr>
            <w:tcW w:type="dxa" w:w="2520"/>
            <w:vAlign w:val="center"/>
            <w:tcMar>
              <w:top w:w="75" w:type="dxa"/>
              <w:left w:w="75" w:type="dxa"/>
              <w:bottom w:w="75" w:type="dxa"/>
              <w:right w:w="75" w:type="dxa"/>
            </w:tcMar>
          </w:tcPr>
          <w:p>
            <w:pPr>
              <w:spacing w:after="60" w:before="60"/>
            </w:pPr>
            <w:r>
              <w:rPr>
                <w:sz w:val="20"/>
              </w:rPr>
              <w:t>Optional validation references</w:t>
            </w:r>
          </w:p>
        </w:tc>
        <w:tc>
          <w:tcPr>
            <w:tcW w:type="dxa" w:w="7560"/>
            <w:vAlign w:val="center"/>
            <w:tcMar>
              <w:top w:w="75" w:type="dxa"/>
              <w:left w:w="75" w:type="dxa"/>
              <w:bottom w:w="75" w:type="dxa"/>
              <w:right w:w="75" w:type="dxa"/>
            </w:tcMar>
          </w:tcPr>
          <w:p>
            <w:pPr>
              <w:spacing w:after="60" w:before="60"/>
            </w:pPr>
            <w:r>
              <w:rPr>
                <w:sz w:val="20"/>
              </w:rPr>
              <w:t>reference/Source_to_Combined_Map.csv and reference/Reference_Metrics.csv</w:t>
            </w:r>
          </w:p>
        </w:tc>
      </w:tr>
      <w:tr>
        <w:trPr>
          <w:cantSplit/>
        </w:trPr>
        <w:tc>
          <w:tcPr>
            <w:tcW w:type="dxa" w:w="2520"/>
            <w:vAlign w:val="center"/>
            <w:tcMar>
              <w:top w:w="75" w:type="dxa"/>
              <w:left w:w="75" w:type="dxa"/>
              <w:bottom w:w="75" w:type="dxa"/>
              <w:right w:w="75" w:type="dxa"/>
            </w:tcMar>
          </w:tcPr>
          <w:p>
            <w:pPr>
              <w:spacing w:after="60" w:before="60"/>
            </w:pPr>
            <w:r>
              <w:rPr>
                <w:sz w:val="20"/>
              </w:rPr>
              <w:t>Separate optional supplement</w:t>
            </w:r>
          </w:p>
        </w:tc>
        <w:tc>
          <w:tcPr>
            <w:tcW w:type="dxa" w:w="7560"/>
            <w:vAlign w:val="center"/>
            <w:tcMar>
              <w:top w:w="75" w:type="dxa"/>
              <w:left w:w="75" w:type="dxa"/>
              <w:bottom w:w="75" w:type="dxa"/>
              <w:right w:w="75" w:type="dxa"/>
            </w:tcMar>
          </w:tcPr>
          <w:p>
            <w:pPr>
              <w:spacing w:after="60" w:before="60"/>
            </w:pPr>
            <w:r>
              <w:rPr>
                <w:sz w:val="20"/>
              </w:rPr>
              <w:t>supplemental_noncustomers/ contains the unchanged noncustomer instrument and 500-case wave workbooks</w:t>
            </w:r>
          </w:p>
        </w:tc>
      </w:tr>
    </w:tbl>
    <w:p>
      <w:r>
        <w:t>The normal import needs the combined questionnaire, matching codebook and selected combined dataset only. JSON is not a required input. The CSV and XLSX data are alternative formats of the same records, not additional waves. Do not import both as separate people. Use either the combined data format or the separate company/channel format for an analysis, never both representations: they contain the same customers. Original separate versions remain intact outside this combined pack.</w:t>
      </w:r>
    </w:p>
    <w:p>
      <w:pPr>
        <w:pStyle w:val="Heading1"/>
        <w:pageBreakBefore w:val="0"/>
      </w:pPr>
      <w:r>
        <w:t>Import one customer table</w:t>
      </w:r>
    </w:p>
    <w:p>
      <w:r>
        <w:t>Select the Respondents sheet as data in each combined XLSX workbook. Embedded metadata sheets describe fields and response labels; they are not respondent records. For CSV, read IDs and date strings as text and join the matching CSV metadata by exact variable name. Preserve empty fields rather than coercing them to zero.</w:t>
      </w:r>
    </w:p>
    <w:p>
      <w:r>
        <w:t>Each data sheet has 400 columns: 100 customer-level fields and four fixed blocks of 75 channel fields. The original 330-column combined core remains unchanged: 98 company fields plus four blocks of 58 source channel-only fields. Two new journey emotions and 17 additional fields in every fixed channel block add 70 columns for the expanded testing base. Keep the original company column names. Channel output names are ch01_{original_variable}, ch02_{original_variable}, ch03_{original_variable} and ch04_{original_variable}. Prefixes represent channel codes, not order of use or sequence 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456"/>
        <w:gridCol w:w="3456"/>
        <w:gridCol w:w="2448"/>
      </w:tblGrid>
      <w:tr>
        <w:trPr>
          <w:cantSplit/>
          <w:tblHeader/>
        </w:trPr>
        <w:tc>
          <w:tcPr>
            <w:tcW w:type="dxa" w:w="720"/>
            <w:vAlign w:val="center"/>
            <w:tcMar>
              <w:top w:w="75" w:type="dxa"/>
              <w:left w:w="75" w:type="dxa"/>
              <w:bottom w:w="75" w:type="dxa"/>
              <w:right w:w="75" w:type="dxa"/>
            </w:tcMar>
            <w:shd w:fill="E8EEF3"/>
          </w:tcPr>
          <w:p>
            <w:pPr>
              <w:spacing w:after="60" w:before="60"/>
              <w:jc w:val="center"/>
            </w:pPr>
            <w:r>
              <w:rPr>
                <w:b/>
                <w:sz w:val="20"/>
              </w:rPr>
              <w:t>Code</w:t>
            </w:r>
          </w:p>
        </w:tc>
        <w:tc>
          <w:tcPr>
            <w:tcW w:type="dxa" w:w="3456"/>
            <w:vAlign w:val="center"/>
            <w:tcMar>
              <w:top w:w="75" w:type="dxa"/>
              <w:left w:w="75" w:type="dxa"/>
              <w:bottom w:w="75" w:type="dxa"/>
              <w:right w:w="75" w:type="dxa"/>
            </w:tcMar>
            <w:shd w:fill="E8EEF3"/>
          </w:tcPr>
          <w:p>
            <w:pPr>
              <w:spacing w:after="60" w:before="60"/>
            </w:pPr>
            <w:r>
              <w:rPr>
                <w:b/>
                <w:sz w:val="20"/>
              </w:rPr>
              <w:t>Banking</w:t>
            </w:r>
          </w:p>
        </w:tc>
        <w:tc>
          <w:tcPr>
            <w:tcW w:type="dxa" w:w="3456"/>
            <w:vAlign w:val="center"/>
            <w:tcMar>
              <w:top w:w="75" w:type="dxa"/>
              <w:left w:w="75" w:type="dxa"/>
              <w:bottom w:w="75" w:type="dxa"/>
              <w:right w:w="75" w:type="dxa"/>
            </w:tcMar>
            <w:shd w:fill="E8EEF3"/>
          </w:tcPr>
          <w:p>
            <w:pPr>
              <w:spacing w:after="60" w:before="60"/>
            </w:pPr>
            <w:r>
              <w:rPr>
                <w:b/>
                <w:sz w:val="20"/>
              </w:rPr>
              <w:t>Mobile telecoms</w:t>
            </w:r>
          </w:p>
        </w:tc>
        <w:tc>
          <w:tcPr>
            <w:tcW w:type="dxa" w:w="2448"/>
            <w:vAlign w:val="center"/>
            <w:tcMar>
              <w:top w:w="75" w:type="dxa"/>
              <w:left w:w="75" w:type="dxa"/>
              <w:bottom w:w="75" w:type="dxa"/>
              <w:right w:w="75" w:type="dxa"/>
            </w:tcMar>
            <w:shd w:fill="E8EEF3"/>
          </w:tcPr>
          <w:p>
            <w:pPr>
              <w:spacing w:after="60" w:before="60"/>
            </w:pPr>
            <w:r>
              <w:rPr>
                <w:b/>
                <w:sz w:val="20"/>
              </w:rPr>
              <w:t>Prefix</w:t>
            </w:r>
          </w:p>
        </w:tc>
      </w:tr>
      <w:tr>
        <w:trPr>
          <w:cantSplit/>
        </w:trPr>
        <w:tc>
          <w:tcPr>
            <w:tcW w:type="dxa" w:w="720"/>
            <w:vAlign w:val="center"/>
            <w:tcMar>
              <w:top w:w="75" w:type="dxa"/>
              <w:left w:w="75" w:type="dxa"/>
              <w:bottom w:w="75" w:type="dxa"/>
              <w:right w:w="75" w:type="dxa"/>
            </w:tcMar>
          </w:tcPr>
          <w:p>
            <w:pPr>
              <w:spacing w:after="60" w:before="60"/>
              <w:jc w:val="center"/>
            </w:pPr>
            <w:r>
              <w:rPr>
                <w:sz w:val="20"/>
              </w:rPr>
              <w:t>1</w:t>
            </w:r>
          </w:p>
        </w:tc>
        <w:tc>
          <w:tcPr>
            <w:tcW w:type="dxa" w:w="3456"/>
            <w:vAlign w:val="center"/>
            <w:tcMar>
              <w:top w:w="75" w:type="dxa"/>
              <w:left w:w="75" w:type="dxa"/>
              <w:bottom w:w="75" w:type="dxa"/>
              <w:right w:w="75" w:type="dxa"/>
            </w:tcMar>
          </w:tcPr>
          <w:p>
            <w:pPr>
              <w:spacing w:after="60" w:before="60"/>
            </w:pPr>
            <w:r>
              <w:rPr>
                <w:sz w:val="20"/>
              </w:rPr>
              <w:t>Call centre</w:t>
            </w:r>
          </w:p>
        </w:tc>
        <w:tc>
          <w:tcPr>
            <w:tcW w:type="dxa" w:w="3456"/>
            <w:vAlign w:val="center"/>
            <w:tcMar>
              <w:top w:w="75" w:type="dxa"/>
              <w:left w:w="75" w:type="dxa"/>
              <w:bottom w:w="75" w:type="dxa"/>
              <w:right w:w="75" w:type="dxa"/>
            </w:tcMar>
          </w:tcPr>
          <w:p>
            <w:pPr>
              <w:spacing w:after="60" w:before="60"/>
            </w:pPr>
            <w:r>
              <w:rPr>
                <w:sz w:val="20"/>
              </w:rPr>
              <w:t>Call centre</w:t>
            </w:r>
          </w:p>
        </w:tc>
        <w:tc>
          <w:tcPr>
            <w:tcW w:type="dxa" w:w="2448"/>
            <w:vAlign w:val="center"/>
            <w:tcMar>
              <w:top w:w="75" w:type="dxa"/>
              <w:left w:w="75" w:type="dxa"/>
              <w:bottom w:w="75" w:type="dxa"/>
              <w:right w:w="75" w:type="dxa"/>
            </w:tcMar>
          </w:tcPr>
          <w:p>
            <w:pPr>
              <w:spacing w:after="60" w:before="60"/>
            </w:pPr>
            <w:r>
              <w:rPr>
                <w:sz w:val="20"/>
              </w:rPr>
              <w:t>ch01_</w:t>
            </w:r>
          </w:p>
        </w:tc>
      </w:tr>
      <w:tr>
        <w:trPr>
          <w:cantSplit/>
        </w:trPr>
        <w:tc>
          <w:tcPr>
            <w:tcW w:type="dxa" w:w="720"/>
            <w:vAlign w:val="center"/>
            <w:tcMar>
              <w:top w:w="75" w:type="dxa"/>
              <w:left w:w="75" w:type="dxa"/>
              <w:bottom w:w="75" w:type="dxa"/>
              <w:right w:w="75" w:type="dxa"/>
            </w:tcMar>
          </w:tcPr>
          <w:p>
            <w:pPr>
              <w:spacing w:after="60" w:before="60"/>
              <w:jc w:val="center"/>
            </w:pPr>
            <w:r>
              <w:rPr>
                <w:sz w:val="20"/>
              </w:rPr>
              <w:t>2</w:t>
            </w:r>
          </w:p>
        </w:tc>
        <w:tc>
          <w:tcPr>
            <w:tcW w:type="dxa" w:w="3456"/>
            <w:vAlign w:val="center"/>
            <w:tcMar>
              <w:top w:w="75" w:type="dxa"/>
              <w:left w:w="75" w:type="dxa"/>
              <w:bottom w:w="75" w:type="dxa"/>
              <w:right w:w="75" w:type="dxa"/>
            </w:tcMar>
          </w:tcPr>
          <w:p>
            <w:pPr>
              <w:spacing w:after="60" w:before="60"/>
            </w:pPr>
            <w:r>
              <w:rPr>
                <w:sz w:val="20"/>
              </w:rPr>
              <w:t>Branch</w:t>
            </w:r>
          </w:p>
        </w:tc>
        <w:tc>
          <w:tcPr>
            <w:tcW w:type="dxa" w:w="3456"/>
            <w:vAlign w:val="center"/>
            <w:tcMar>
              <w:top w:w="75" w:type="dxa"/>
              <w:left w:w="75" w:type="dxa"/>
              <w:bottom w:w="75" w:type="dxa"/>
              <w:right w:w="75" w:type="dxa"/>
            </w:tcMar>
          </w:tcPr>
          <w:p>
            <w:pPr>
              <w:spacing w:after="60" w:before="60"/>
            </w:pPr>
            <w:r>
              <w:rPr>
                <w:sz w:val="20"/>
              </w:rPr>
              <w:t>Retail store</w:t>
            </w:r>
          </w:p>
        </w:tc>
        <w:tc>
          <w:tcPr>
            <w:tcW w:type="dxa" w:w="2448"/>
            <w:vAlign w:val="center"/>
            <w:tcMar>
              <w:top w:w="75" w:type="dxa"/>
              <w:left w:w="75" w:type="dxa"/>
              <w:bottom w:w="75" w:type="dxa"/>
              <w:right w:w="75" w:type="dxa"/>
            </w:tcMar>
          </w:tcPr>
          <w:p>
            <w:pPr>
              <w:spacing w:after="60" w:before="60"/>
            </w:pPr>
            <w:r>
              <w:rPr>
                <w:sz w:val="20"/>
              </w:rPr>
              <w:t>ch02_</w:t>
            </w:r>
          </w:p>
        </w:tc>
      </w:tr>
      <w:tr>
        <w:trPr>
          <w:cantSplit/>
        </w:trPr>
        <w:tc>
          <w:tcPr>
            <w:tcW w:type="dxa" w:w="720"/>
            <w:vAlign w:val="center"/>
            <w:tcMar>
              <w:top w:w="75" w:type="dxa"/>
              <w:left w:w="75" w:type="dxa"/>
              <w:bottom w:w="75" w:type="dxa"/>
              <w:right w:w="75" w:type="dxa"/>
            </w:tcMar>
          </w:tcPr>
          <w:p>
            <w:pPr>
              <w:spacing w:after="60" w:before="60"/>
              <w:jc w:val="center"/>
            </w:pPr>
            <w:r>
              <w:rPr>
                <w:sz w:val="20"/>
              </w:rPr>
              <w:t>3</w:t>
            </w:r>
          </w:p>
        </w:tc>
        <w:tc>
          <w:tcPr>
            <w:tcW w:type="dxa" w:w="3456"/>
            <w:vAlign w:val="center"/>
            <w:tcMar>
              <w:top w:w="75" w:type="dxa"/>
              <w:left w:w="75" w:type="dxa"/>
              <w:bottom w:w="75" w:type="dxa"/>
              <w:right w:w="75" w:type="dxa"/>
            </w:tcMar>
          </w:tcPr>
          <w:p>
            <w:pPr>
              <w:spacing w:after="60" w:before="60"/>
            </w:pPr>
            <w:r>
              <w:rPr>
                <w:sz w:val="20"/>
              </w:rPr>
              <w:t>Digital self service</w:t>
            </w:r>
          </w:p>
        </w:tc>
        <w:tc>
          <w:tcPr>
            <w:tcW w:type="dxa" w:w="3456"/>
            <w:vAlign w:val="center"/>
            <w:tcMar>
              <w:top w:w="75" w:type="dxa"/>
              <w:left w:w="75" w:type="dxa"/>
              <w:bottom w:w="75" w:type="dxa"/>
              <w:right w:w="75" w:type="dxa"/>
            </w:tcMar>
          </w:tcPr>
          <w:p>
            <w:pPr>
              <w:spacing w:after="60" w:before="60"/>
            </w:pPr>
            <w:r>
              <w:rPr>
                <w:sz w:val="20"/>
              </w:rPr>
              <w:t>Digital self service</w:t>
            </w:r>
          </w:p>
        </w:tc>
        <w:tc>
          <w:tcPr>
            <w:tcW w:type="dxa" w:w="2448"/>
            <w:vAlign w:val="center"/>
            <w:tcMar>
              <w:top w:w="75" w:type="dxa"/>
              <w:left w:w="75" w:type="dxa"/>
              <w:bottom w:w="75" w:type="dxa"/>
              <w:right w:w="75" w:type="dxa"/>
            </w:tcMar>
          </w:tcPr>
          <w:p>
            <w:pPr>
              <w:spacing w:after="60" w:before="60"/>
            </w:pPr>
            <w:r>
              <w:rPr>
                <w:sz w:val="20"/>
              </w:rPr>
              <w:t>ch03_</w:t>
            </w:r>
          </w:p>
        </w:tc>
      </w:tr>
      <w:tr>
        <w:trPr>
          <w:cantSplit/>
        </w:trPr>
        <w:tc>
          <w:tcPr>
            <w:tcW w:type="dxa" w:w="720"/>
            <w:vAlign w:val="center"/>
            <w:tcMar>
              <w:top w:w="75" w:type="dxa"/>
              <w:left w:w="75" w:type="dxa"/>
              <w:bottom w:w="75" w:type="dxa"/>
              <w:right w:w="75" w:type="dxa"/>
            </w:tcMar>
          </w:tcPr>
          <w:p>
            <w:pPr>
              <w:spacing w:after="60" w:before="60"/>
              <w:jc w:val="center"/>
            </w:pPr>
            <w:r>
              <w:rPr>
                <w:sz w:val="20"/>
              </w:rPr>
              <w:t>4</w:t>
            </w:r>
          </w:p>
        </w:tc>
        <w:tc>
          <w:tcPr>
            <w:tcW w:type="dxa" w:w="3456"/>
            <w:vAlign w:val="center"/>
            <w:tcMar>
              <w:top w:w="75" w:type="dxa"/>
              <w:left w:w="75" w:type="dxa"/>
              <w:bottom w:w="75" w:type="dxa"/>
              <w:right w:w="75" w:type="dxa"/>
            </w:tcMar>
          </w:tcPr>
          <w:p>
            <w:pPr>
              <w:spacing w:after="60" w:before="60"/>
            </w:pPr>
            <w:r>
              <w:rPr>
                <w:sz w:val="20"/>
              </w:rPr>
              <w:t>Messaging or live chat</w:t>
            </w:r>
          </w:p>
        </w:tc>
        <w:tc>
          <w:tcPr>
            <w:tcW w:type="dxa" w:w="3456"/>
            <w:vAlign w:val="center"/>
            <w:tcMar>
              <w:top w:w="75" w:type="dxa"/>
              <w:left w:w="75" w:type="dxa"/>
              <w:bottom w:w="75" w:type="dxa"/>
              <w:right w:w="75" w:type="dxa"/>
            </w:tcMar>
          </w:tcPr>
          <w:p>
            <w:pPr>
              <w:spacing w:after="60" w:before="60"/>
            </w:pPr>
            <w:r>
              <w:rPr>
                <w:sz w:val="20"/>
              </w:rPr>
              <w:t>Messaging or live chat</w:t>
            </w:r>
          </w:p>
        </w:tc>
        <w:tc>
          <w:tcPr>
            <w:tcW w:type="dxa" w:w="2448"/>
            <w:vAlign w:val="center"/>
            <w:tcMar>
              <w:top w:w="75" w:type="dxa"/>
              <w:left w:w="75" w:type="dxa"/>
              <w:bottom w:w="75" w:type="dxa"/>
              <w:right w:w="75" w:type="dxa"/>
            </w:tcMar>
          </w:tcPr>
          <w:p>
            <w:pPr>
              <w:spacing w:after="60" w:before="60"/>
            </w:pPr>
            <w:r>
              <w:rPr>
                <w:sz w:val="20"/>
              </w:rPr>
              <w:t>ch04_</w:t>
            </w:r>
          </w:p>
        </w:tc>
      </w:tr>
    </w:tbl>
    <w:p>
      <w:r>
        <w:t>For example, ch01_channel_csat5 is satisfaction with the latest call-centre experience; ch03_digital_mode distinguishes App (1) from Website (2). chxx_experience_id retains the original experience ID and chxx_channel retains the source code for a used channel. An unused channel has all 75 block cells blank, including its ID and code. It does not receive a fictitious zero score or a dummy experience.</w:t>
      </w:r>
    </w:p>
    <w:p>
      <w:r>
        <w:t>The original customer fields channel_used_c01–c04 and channel_none retain their explicit 0/1 values. channel_contacts_c01–c04 retain recalled counts, with original zeros for unused channels. Use these customer-level fields for channel reach and contact frequency; do not count nonblank ratings as the entire user base because ratings can be nonresponse.</w:t>
      </w:r>
    </w:p>
    <w:p>
      <w:r>
        <w:t>The first 13 fields shared by the source company and channel datasets were verified exactly equal for every linked channel record: respondent_id, interview_date, wave, company, weight, age, age_band, gender, province, income, settlement, segment and tenure_months. They are retained once from the company record. There is no chxx_weight: use the same verified person weight for each eligible channel block. All original channel-specific fields remain present. New diagnostic answers are additive synthetic test responses, not observations recovered from a historical survey.</w:t>
      </w:r>
    </w:p>
    <w:p>
      <w:pPr>
        <w:pStyle w:val="Heading1"/>
        <w:pageBreakBefore w:val="0"/>
      </w:pPr>
      <w:r>
        <w:t>All waves in one file</w:t>
      </w:r>
    </w:p>
    <w:p>
      <w:r>
        <w:t>Each sector provides data/Banking_CSM_Combined_All_Waves.xlsx or data/Mobile_CSM_Combined_All_Waves.xlsx, with a matching CSV. Each has exactly 3,000 rows and is the exact concatenation of that sector’s three wave files. Choose either this pooled file or its constituent wave files, not both. Retain wave and the original wave-specific weights without silent renormalisation. Default reporting to a selected wave. Any pooled summary needs an explicit cross-wave target and base; the rows remain independent cross-sections, never a panel.</w:t>
      </w:r>
    </w:p>
    <w:p>
      <w:pPr>
        <w:pStyle w:val="Heading1"/>
        <w:pageBreakBefore w:val="0"/>
      </w:pPr>
      <w:r>
        <w:t>Keys and lossless reconstruction</w:t>
      </w:r>
    </w:p>
    <w:p>
      <w:r>
        <w:t>Within each sector use (wave, respondent_id) as the customer key and validate company consistency. Across sectors add sector to avoid accidental collisions. Never join on row position, provider alone, name, a parsed numeric ID or date. Source identifiers and dates remain unchanged; wave labels do not replace actual dates.</w:t>
      </w:r>
    </w:p>
    <w:p>
      <w:r>
        <w:t>To reconstruct a channel view, emit one row for each used block, strip its chxx_ prefix from the 75 fields and attach the 13 shared customer context fields. Retain the original experience_id and channel. Do not emit unused blocks. Check one source experience per (wave, respondent_id, channel); restrict to the original 58 channel-only fields plus shared context when comparing exactly with the source. The additional fields do not overwrite the baseline. This is an analytical view of the combined data, not a second required survey or input file.</w:t>
      </w:r>
    </w:p>
    <w:p>
      <w:pPr>
        <w:pStyle w:val="Heading1"/>
        <w:pageBreakBefore w:val="0"/>
      </w:pPr>
      <w:r>
        <w:t>Read the questionnaire and codebook together</w:t>
      </w:r>
    </w:p>
    <w:p>
      <w:r>
        <w:t>C.{source question} identifies questions administered once at customer level. CH01.{source question} through CH04.{source question} identify channel repetitions. The printed questionnaire uses CHxx as the reusable full block and explicitly maps xx to the four fixed codes. Every individual response has wording, options, a route and a storage field. The codebook preserves source questions alongside the combined namespace.</w:t>
      </w:r>
    </w:p>
    <w:p>
      <w:r>
        <w:t>Ask company ratings first, then the 30-day channel-use screen, one independently anchored journey and recent comparable competitor context, then the latest-experience block once per used channel. Ask demographics once. Store one customer row even for a person with no recent channel use. No detailed channel ratings are asked for an unused channel.</w:t>
      </w:r>
    </w:p>
    <w:p>
      <w:r>
        <w:t>The anchored journey is the specific task most recently started in 30 days, with its own journey_id, sequence, contact count, transfer and repetition responses, outcome, satisfaction, emotions, explanation and preference. It can involve several contacts or channels. Separate latest-channel records may concern different tasks and must never be joined into an invented journey. journey_digital_mode can be 3 Both app and website; latest-channel digital_mode cannot.</w:t>
      </w:r>
    </w:p>
    <w:p>
      <w:pPr>
        <w:pStyle w:val="Heading1"/>
        <w:pageBreakBefore w:val="0"/>
      </w:pPr>
      <w:r>
        <w:t>Count and weight the right unit</w:t>
      </w:r>
    </w:p>
    <w:p>
      <w:r>
        <w:t>Company and journey views count each eligible person once, applying weight once. A channel-specific view uses the one corresponding used block per person and that same weight. A pooled all-channel view counts customer-channel experiences: a person using several channels contributes several records. Label this unit explicitly, showing experience n and distinct customer n. It is not overall company satisfaction or end-to-end journey satisfaction.</w:t>
      </w:r>
    </w:p>
    <w:p>
      <w:r>
        <w:t>For a company measure filtered by channel use, retain distinct people and label the base “customers who used [channel]”. Adding a channel, task or problem filter changes the population and denominator. Do not average duplicated company ratings after reshaping into a long channel view.</w:t>
      </w:r>
    </w:p>
    <w:p>
      <w:r>
        <w:t>Cross-channel responses from the same person are dependent. Use paired eligible cases for a within-person comparison, or an analysis that accounts for person clustering; do not assume independent samples. The three waves are independent repeated cross-sections, not longitudinal transitions. Descriptive weighted differences do not establish causal service effects, actual churn or market rankings.</w:t>
      </w:r>
    </w:p>
    <w:p>
      <w:pPr>
        <w:pStyle w:val="Heading1"/>
        <w:pageBreakBefore w:val="0"/>
      </w:pPr>
      <w:r>
        <w:t>Apply item specific scoring and missing rules</w:t>
      </w:r>
    </w:p>
    <w:p>
      <w:r>
        <w:t>Satisfaction uses valid 1–5, top two 4–5, top box 5 and bottom two 1–2. NPS is percentage 9–10 minus percentage 0–6 on the recommendation item, keeping valid 7–8 passives in the denominator. Ease uses valid 1–7 with higher=easier, not the CSAT scale. Performance, importance, agreement and emotional intensity use their own labels even when coded 1–5. Do not merge differently worded scales.</w:t>
      </w:r>
    </w:p>
    <w:p>
      <w:r>
        <w:t>Keep 98 Not applicable and 99 nonresponse out of the valid rating base where labelled. Keep structural blanks distinct from valid zeros. Pending status 9 is substantive: display its share. Journey completion excludes pending from the known-final-outcome base. First-contact resolution includes problem cases with known resolution only. A kept-callback base excludes Not yet due, not late or nonreceived callbacks.</w:t>
      </w:r>
    </w:p>
    <w:p>
      <w:r>
        <w:t>Show reassured, valued, frustrated, anxious, angry and disappointed separately at the correct channel or journey level. Preserve the corresponding open-text reasons. Top two intensity (4–5) for frustrated, anxious, angry or disappointed means high negative emotion, not favourable CSAT. Experience preference is agreement, not CSAT. Staying reasons are multiple response and may combine genuine preference with habit or constraints; show the primary reason separately and respect exclusive None and Do not know flags.</w:t>
      </w:r>
    </w:p>
    <w:p>
      <w:r>
        <w:t>A recent competitor comparison requires confirmed personal use of another provider, the same task type in the past 30 days and two valid satisfaction ratings. Average within-person benchmark_gap5 on the paired base; do not subtract differently filtered means. A channel comparison additionally requires a single-channel main-provider journey and a matching competitor channel. Otherwise show Not measured, not zero or parity. Selection and recall still limit interpretation.</w:t>
      </w:r>
    </w:p>
    <w:p>
      <w:r>
        <w:t>Show raw valid n and weighted base for every metric. The fixture reporting rules flag n&lt;50 and suppress inference when n&lt;30; these are not universal standards. Weighted effective sample size alone does not remove repeated-person dependence or selection bias. Reference results validate arithmetic, not production app behavior.</w:t>
      </w:r>
    </w:p>
    <w:p>
      <w:pPr>
        <w:pStyle w:val="Heading1"/>
        <w:pageBreakBefore w:val="0"/>
      </w:pPr>
      <w:r>
        <w:t>Use the fuller call centre and IVR module</w:t>
      </w:r>
    </w:p>
    <w:p>
      <w:r>
        <w:t>The testing base includes live-agent contact, queue-wait satisfaction, total-call-time satisfaction, overall-agent satisfaction and correct-person-at-first-transfer. Queue-wait and agent ratings require live-agent contact; the first-transfer question additionally requires a transfer. Total-call-time satisfaction applies to every call, including a possible future IVR-only call. All existing source calls had staff_contact=1, so call_agent_contact=1 in the supplied expanded fixture; negative process answers never imply no agent contact.</w:t>
      </w:r>
    </w:p>
    <w:p>
      <w:r>
        <w:t>Agent ownership, promises kept, patience and urgency are agreement items, not CSAT. Promise and urgency screens gate their follow-ups. Promises kept additionally allows 9 Not yet due or too early to tell, excluded from the valid 1–5 base. IVR availability, response speed, information accuracy and ease are performance items for IVR users only; the original IVR clarity remains separate. Detailed field routes and full anchors appear in the questionnaire and codebook. These fuller modules are included for testing and may be scoped as optional modules for a later real study after piloting.</w:t>
      </w:r>
    </w:p>
    <w:p>
      <w:pPr>
        <w:pStyle w:val="Heading1"/>
        <w:pageBreakBefore w:val="0"/>
      </w:pPr>
      <w:r>
        <w:t>Keep the optional supplement separate</w:t>
      </w:r>
    </w:p>
    <w:p>
      <w:r>
        <w:t>The supplemental_noncustomers folder holds 500 independent focal-noncustomers per wave, unchanged. They use the sector but do not currently use FNB in banking or Vodacom in mobile telecoms in any capacity. Their focal expectations and consideration are awareness-gated; these are not ratings of unexperienced focal service. Do not pool them with the 1,000 customers, infer prevalence or market share, or subtract anticipated future expectations from retrospective customer performance as a measured gap.</w:t>
      </w:r>
    </w:p>
    <w:p>
      <w:pPr>
        <w:pStyle w:val="Heading1"/>
        <w:pageBreakBefore w:val="0"/>
      </w:pPr>
      <w:r>
        <w:t>Validate the supplied counts and stop on contradictions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944"/>
        <w:gridCol w:w="2376"/>
        <w:gridCol w:w="2304"/>
      </w:tblGrid>
      <w:tr>
        <w:trPr>
          <w:cantSplit/>
          <w:tblHeader/>
        </w:trPr>
        <w:tc>
          <w:tcPr>
            <w:tcW w:type="dxa" w:w="3456"/>
            <w:vAlign w:val="center"/>
            <w:tcMar>
              <w:top w:w="75" w:type="dxa"/>
              <w:left w:w="75" w:type="dxa"/>
              <w:bottom w:w="75" w:type="dxa"/>
              <w:right w:w="75" w:type="dxa"/>
            </w:tcMar>
            <w:shd w:fill="E8EEF3"/>
          </w:tcPr>
          <w:p>
            <w:pPr>
              <w:spacing w:after="60" w:before="60"/>
            </w:pPr>
            <w:r>
              <w:rPr>
                <w:b/>
                <w:sz w:val="20"/>
              </w:rPr>
              <w:t>Sector and wave</w:t>
            </w:r>
          </w:p>
        </w:tc>
        <w:tc>
          <w:tcPr>
            <w:tcW w:type="dxa" w:w="1944"/>
            <w:vAlign w:val="center"/>
            <w:tcMar>
              <w:top w:w="75" w:type="dxa"/>
              <w:left w:w="75" w:type="dxa"/>
              <w:bottom w:w="75" w:type="dxa"/>
              <w:right w:w="75" w:type="dxa"/>
            </w:tcMar>
            <w:shd w:fill="E8EEF3"/>
          </w:tcPr>
          <w:p>
            <w:pPr>
              <w:spacing w:after="60" w:before="60"/>
            </w:pPr>
            <w:r>
              <w:rPr>
                <w:b/>
                <w:sz w:val="20"/>
              </w:rPr>
              <w:t>Customer rows</w:t>
            </w:r>
          </w:p>
        </w:tc>
        <w:tc>
          <w:tcPr>
            <w:tcW w:type="dxa" w:w="2376"/>
            <w:vAlign w:val="center"/>
            <w:tcMar>
              <w:top w:w="75" w:type="dxa"/>
              <w:left w:w="75" w:type="dxa"/>
              <w:bottom w:w="75" w:type="dxa"/>
              <w:right w:w="75" w:type="dxa"/>
            </w:tcMar>
            <w:shd w:fill="E8EEF3"/>
          </w:tcPr>
          <w:p>
            <w:pPr>
              <w:spacing w:after="60" w:before="60"/>
            </w:pPr>
            <w:r>
              <w:rPr>
                <w:b/>
                <w:sz w:val="20"/>
              </w:rPr>
              <w:t>Used channel blocks</w:t>
            </w:r>
          </w:p>
        </w:tc>
        <w:tc>
          <w:tcPr>
            <w:tcW w:type="dxa" w:w="2304"/>
            <w:vAlign w:val="center"/>
            <w:tcMar>
              <w:top w:w="75" w:type="dxa"/>
              <w:left w:w="75" w:type="dxa"/>
              <w:bottom w:w="75" w:type="dxa"/>
              <w:right w:w="75" w:type="dxa"/>
            </w:tcMar>
            <w:shd w:fill="E8EEF3"/>
          </w:tcPr>
          <w:p>
            <w:pPr>
              <w:spacing w:after="60" w:before="60"/>
            </w:pPr>
            <w:r>
              <w:rPr>
                <w:b/>
                <w:sz w:val="20"/>
              </w:rPr>
              <w:t>No channel customers</w:t>
            </w:r>
          </w:p>
        </w:tc>
      </w:tr>
      <w:tr>
        <w:trPr>
          <w:cantSplit/>
        </w:trPr>
        <w:tc>
          <w:tcPr>
            <w:tcW w:type="dxa" w:w="3456"/>
            <w:vAlign w:val="center"/>
            <w:tcMar>
              <w:top w:w="75" w:type="dxa"/>
              <w:left w:w="75" w:type="dxa"/>
              <w:bottom w:w="75" w:type="dxa"/>
              <w:right w:w="75" w:type="dxa"/>
            </w:tcMar>
          </w:tcPr>
          <w:p>
            <w:pPr>
              <w:spacing w:after="60" w:before="60"/>
            </w:pPr>
            <w:r>
              <w:rPr>
                <w:sz w:val="20"/>
              </w:rPr>
              <w:t>Banking 1</w:t>
            </w:r>
          </w:p>
        </w:tc>
        <w:tc>
          <w:tcPr>
            <w:tcW w:type="dxa" w:w="1944"/>
            <w:vAlign w:val="center"/>
            <w:tcMar>
              <w:top w:w="75" w:type="dxa"/>
              <w:left w:w="75" w:type="dxa"/>
              <w:bottom w:w="75" w:type="dxa"/>
              <w:right w:w="75" w:type="dxa"/>
            </w:tcMar>
          </w:tcPr>
          <w:p>
            <w:pPr>
              <w:spacing w:after="60" w:before="60"/>
            </w:pPr>
            <w:r>
              <w:rPr>
                <w:sz w:val="20"/>
              </w:rPr>
              <w:t>1000</w:t>
            </w:r>
          </w:p>
        </w:tc>
        <w:tc>
          <w:tcPr>
            <w:tcW w:type="dxa" w:w="2376"/>
            <w:vAlign w:val="center"/>
            <w:tcMar>
              <w:top w:w="75" w:type="dxa"/>
              <w:left w:w="75" w:type="dxa"/>
              <w:bottom w:w="75" w:type="dxa"/>
              <w:right w:w="75" w:type="dxa"/>
            </w:tcMar>
          </w:tcPr>
          <w:p>
            <w:pPr>
              <w:spacing w:after="60" w:before="60"/>
            </w:pPr>
            <w:r>
              <w:rPr>
                <w:sz w:val="20"/>
              </w:rPr>
              <w:t>1615</w:t>
            </w:r>
          </w:p>
        </w:tc>
        <w:tc>
          <w:tcPr>
            <w:tcW w:type="dxa" w:w="2304"/>
            <w:vAlign w:val="center"/>
            <w:tcMar>
              <w:top w:w="75" w:type="dxa"/>
              <w:left w:w="75" w:type="dxa"/>
              <w:bottom w:w="75" w:type="dxa"/>
              <w:right w:w="75" w:type="dxa"/>
            </w:tcMar>
          </w:tcPr>
          <w:p>
            <w:pPr>
              <w:spacing w:after="60" w:before="60"/>
            </w:pPr>
            <w:r>
              <w:rPr>
                <w:sz w:val="20"/>
              </w:rPr>
              <w:t>95</w:t>
            </w:r>
          </w:p>
        </w:tc>
      </w:tr>
      <w:tr>
        <w:trPr>
          <w:cantSplit/>
        </w:trPr>
        <w:tc>
          <w:tcPr>
            <w:tcW w:type="dxa" w:w="3456"/>
            <w:vAlign w:val="center"/>
            <w:tcMar>
              <w:top w:w="75" w:type="dxa"/>
              <w:left w:w="75" w:type="dxa"/>
              <w:bottom w:w="75" w:type="dxa"/>
              <w:right w:w="75" w:type="dxa"/>
            </w:tcMar>
          </w:tcPr>
          <w:p>
            <w:pPr>
              <w:spacing w:after="60" w:before="60"/>
            </w:pPr>
            <w:r>
              <w:rPr>
                <w:sz w:val="20"/>
              </w:rPr>
              <w:t>Banking 2</w:t>
            </w:r>
          </w:p>
        </w:tc>
        <w:tc>
          <w:tcPr>
            <w:tcW w:type="dxa" w:w="1944"/>
            <w:vAlign w:val="center"/>
            <w:tcMar>
              <w:top w:w="75" w:type="dxa"/>
              <w:left w:w="75" w:type="dxa"/>
              <w:bottom w:w="75" w:type="dxa"/>
              <w:right w:w="75" w:type="dxa"/>
            </w:tcMar>
          </w:tcPr>
          <w:p>
            <w:pPr>
              <w:spacing w:after="60" w:before="60"/>
            </w:pPr>
            <w:r>
              <w:rPr>
                <w:sz w:val="20"/>
              </w:rPr>
              <w:t>1000</w:t>
            </w:r>
          </w:p>
        </w:tc>
        <w:tc>
          <w:tcPr>
            <w:tcW w:type="dxa" w:w="2376"/>
            <w:vAlign w:val="center"/>
            <w:tcMar>
              <w:top w:w="75" w:type="dxa"/>
              <w:left w:w="75" w:type="dxa"/>
              <w:bottom w:w="75" w:type="dxa"/>
              <w:right w:w="75" w:type="dxa"/>
            </w:tcMar>
          </w:tcPr>
          <w:p>
            <w:pPr>
              <w:spacing w:after="60" w:before="60"/>
            </w:pPr>
            <w:r>
              <w:rPr>
                <w:sz w:val="20"/>
              </w:rPr>
              <w:t>1653</w:t>
            </w:r>
          </w:p>
        </w:tc>
        <w:tc>
          <w:tcPr>
            <w:tcW w:type="dxa" w:w="2304"/>
            <w:vAlign w:val="center"/>
            <w:tcMar>
              <w:top w:w="75" w:type="dxa"/>
              <w:left w:w="75" w:type="dxa"/>
              <w:bottom w:w="75" w:type="dxa"/>
              <w:right w:w="75" w:type="dxa"/>
            </w:tcMar>
          </w:tcPr>
          <w:p>
            <w:pPr>
              <w:spacing w:after="60" w:before="60"/>
            </w:pPr>
            <w:r>
              <w:rPr>
                <w:sz w:val="20"/>
              </w:rPr>
              <w:t>85</w:t>
            </w:r>
          </w:p>
        </w:tc>
      </w:tr>
      <w:tr>
        <w:trPr>
          <w:cantSplit/>
        </w:trPr>
        <w:tc>
          <w:tcPr>
            <w:tcW w:type="dxa" w:w="3456"/>
            <w:vAlign w:val="center"/>
            <w:tcMar>
              <w:top w:w="75" w:type="dxa"/>
              <w:left w:w="75" w:type="dxa"/>
              <w:bottom w:w="75" w:type="dxa"/>
              <w:right w:w="75" w:type="dxa"/>
            </w:tcMar>
          </w:tcPr>
          <w:p>
            <w:pPr>
              <w:spacing w:after="60" w:before="60"/>
            </w:pPr>
            <w:r>
              <w:rPr>
                <w:sz w:val="20"/>
              </w:rPr>
              <w:t>Banking 3</w:t>
            </w:r>
          </w:p>
        </w:tc>
        <w:tc>
          <w:tcPr>
            <w:tcW w:type="dxa" w:w="1944"/>
            <w:vAlign w:val="center"/>
            <w:tcMar>
              <w:top w:w="75" w:type="dxa"/>
              <w:left w:w="75" w:type="dxa"/>
              <w:bottom w:w="75" w:type="dxa"/>
              <w:right w:w="75" w:type="dxa"/>
            </w:tcMar>
          </w:tcPr>
          <w:p>
            <w:pPr>
              <w:spacing w:after="60" w:before="60"/>
            </w:pPr>
            <w:r>
              <w:rPr>
                <w:sz w:val="20"/>
              </w:rPr>
              <w:t>1000</w:t>
            </w:r>
          </w:p>
        </w:tc>
        <w:tc>
          <w:tcPr>
            <w:tcW w:type="dxa" w:w="2376"/>
            <w:vAlign w:val="center"/>
            <w:tcMar>
              <w:top w:w="75" w:type="dxa"/>
              <w:left w:w="75" w:type="dxa"/>
              <w:bottom w:w="75" w:type="dxa"/>
              <w:right w:w="75" w:type="dxa"/>
            </w:tcMar>
          </w:tcPr>
          <w:p>
            <w:pPr>
              <w:spacing w:after="60" w:before="60"/>
            </w:pPr>
            <w:r>
              <w:rPr>
                <w:sz w:val="20"/>
              </w:rPr>
              <w:t>1569</w:t>
            </w:r>
          </w:p>
        </w:tc>
        <w:tc>
          <w:tcPr>
            <w:tcW w:type="dxa" w:w="2304"/>
            <w:vAlign w:val="center"/>
            <w:tcMar>
              <w:top w:w="75" w:type="dxa"/>
              <w:left w:w="75" w:type="dxa"/>
              <w:bottom w:w="75" w:type="dxa"/>
              <w:right w:w="75" w:type="dxa"/>
            </w:tcMar>
          </w:tcPr>
          <w:p>
            <w:pPr>
              <w:spacing w:after="60" w:before="60"/>
            </w:pPr>
            <w:r>
              <w:rPr>
                <w:sz w:val="20"/>
              </w:rPr>
              <w:t>88</w:t>
            </w:r>
          </w:p>
        </w:tc>
      </w:tr>
      <w:tr>
        <w:trPr>
          <w:cantSplit/>
        </w:trPr>
        <w:tc>
          <w:tcPr>
            <w:tcW w:type="dxa" w:w="3456"/>
            <w:vAlign w:val="center"/>
            <w:tcMar>
              <w:top w:w="75" w:type="dxa"/>
              <w:left w:w="75" w:type="dxa"/>
              <w:bottom w:w="75" w:type="dxa"/>
              <w:right w:w="75" w:type="dxa"/>
            </w:tcMar>
          </w:tcPr>
          <w:p>
            <w:pPr>
              <w:spacing w:after="60" w:before="60"/>
            </w:pPr>
            <w:r>
              <w:rPr>
                <w:sz w:val="20"/>
              </w:rPr>
              <w:t>Mobile telecoms 1</w:t>
            </w:r>
          </w:p>
        </w:tc>
        <w:tc>
          <w:tcPr>
            <w:tcW w:type="dxa" w:w="1944"/>
            <w:vAlign w:val="center"/>
            <w:tcMar>
              <w:top w:w="75" w:type="dxa"/>
              <w:left w:w="75" w:type="dxa"/>
              <w:bottom w:w="75" w:type="dxa"/>
              <w:right w:w="75" w:type="dxa"/>
            </w:tcMar>
          </w:tcPr>
          <w:p>
            <w:pPr>
              <w:spacing w:after="60" w:before="60"/>
            </w:pPr>
            <w:r>
              <w:rPr>
                <w:sz w:val="20"/>
              </w:rPr>
              <w:t>1000</w:t>
            </w:r>
          </w:p>
        </w:tc>
        <w:tc>
          <w:tcPr>
            <w:tcW w:type="dxa" w:w="2376"/>
            <w:vAlign w:val="center"/>
            <w:tcMar>
              <w:top w:w="75" w:type="dxa"/>
              <w:left w:w="75" w:type="dxa"/>
              <w:bottom w:w="75" w:type="dxa"/>
              <w:right w:w="75" w:type="dxa"/>
            </w:tcMar>
          </w:tcPr>
          <w:p>
            <w:pPr>
              <w:spacing w:after="60" w:before="60"/>
            </w:pPr>
            <w:r>
              <w:rPr>
                <w:sz w:val="20"/>
              </w:rPr>
              <w:t>1498</w:t>
            </w:r>
          </w:p>
        </w:tc>
        <w:tc>
          <w:tcPr>
            <w:tcW w:type="dxa" w:w="2304"/>
            <w:vAlign w:val="center"/>
            <w:tcMar>
              <w:top w:w="75" w:type="dxa"/>
              <w:left w:w="75" w:type="dxa"/>
              <w:bottom w:w="75" w:type="dxa"/>
              <w:right w:w="75" w:type="dxa"/>
            </w:tcMar>
          </w:tcPr>
          <w:p>
            <w:pPr>
              <w:spacing w:after="60" w:before="60"/>
            </w:pPr>
            <w:r>
              <w:rPr>
                <w:sz w:val="20"/>
              </w:rPr>
              <w:t>120</w:t>
            </w:r>
          </w:p>
        </w:tc>
      </w:tr>
      <w:tr>
        <w:trPr>
          <w:cantSplit/>
        </w:trPr>
        <w:tc>
          <w:tcPr>
            <w:tcW w:type="dxa" w:w="3456"/>
            <w:vAlign w:val="center"/>
            <w:tcMar>
              <w:top w:w="75" w:type="dxa"/>
              <w:left w:w="75" w:type="dxa"/>
              <w:bottom w:w="75" w:type="dxa"/>
              <w:right w:w="75" w:type="dxa"/>
            </w:tcMar>
          </w:tcPr>
          <w:p>
            <w:pPr>
              <w:spacing w:after="60" w:before="60"/>
            </w:pPr>
            <w:r>
              <w:rPr>
                <w:sz w:val="20"/>
              </w:rPr>
              <w:t>Mobile telecoms 2</w:t>
            </w:r>
          </w:p>
        </w:tc>
        <w:tc>
          <w:tcPr>
            <w:tcW w:type="dxa" w:w="1944"/>
            <w:vAlign w:val="center"/>
            <w:tcMar>
              <w:top w:w="75" w:type="dxa"/>
              <w:left w:w="75" w:type="dxa"/>
              <w:bottom w:w="75" w:type="dxa"/>
              <w:right w:w="75" w:type="dxa"/>
            </w:tcMar>
          </w:tcPr>
          <w:p>
            <w:pPr>
              <w:spacing w:after="60" w:before="60"/>
            </w:pPr>
            <w:r>
              <w:rPr>
                <w:sz w:val="20"/>
              </w:rPr>
              <w:t>1000</w:t>
            </w:r>
          </w:p>
        </w:tc>
        <w:tc>
          <w:tcPr>
            <w:tcW w:type="dxa" w:w="2376"/>
            <w:vAlign w:val="center"/>
            <w:tcMar>
              <w:top w:w="75" w:type="dxa"/>
              <w:left w:w="75" w:type="dxa"/>
              <w:bottom w:w="75" w:type="dxa"/>
              <w:right w:w="75" w:type="dxa"/>
            </w:tcMar>
          </w:tcPr>
          <w:p>
            <w:pPr>
              <w:spacing w:after="60" w:before="60"/>
            </w:pPr>
            <w:r>
              <w:rPr>
                <w:sz w:val="20"/>
              </w:rPr>
              <w:t>1501</w:t>
            </w:r>
          </w:p>
        </w:tc>
        <w:tc>
          <w:tcPr>
            <w:tcW w:type="dxa" w:w="2304"/>
            <w:vAlign w:val="center"/>
            <w:tcMar>
              <w:top w:w="75" w:type="dxa"/>
              <w:left w:w="75" w:type="dxa"/>
              <w:bottom w:w="75" w:type="dxa"/>
              <w:right w:w="75" w:type="dxa"/>
            </w:tcMar>
          </w:tcPr>
          <w:p>
            <w:pPr>
              <w:spacing w:after="60" w:before="60"/>
            </w:pPr>
            <w:r>
              <w:rPr>
                <w:sz w:val="20"/>
              </w:rPr>
              <w:t>121</w:t>
            </w:r>
          </w:p>
        </w:tc>
      </w:tr>
      <w:tr>
        <w:trPr>
          <w:cantSplit/>
        </w:trPr>
        <w:tc>
          <w:tcPr>
            <w:tcW w:type="dxa" w:w="3456"/>
            <w:vAlign w:val="center"/>
            <w:tcMar>
              <w:top w:w="75" w:type="dxa"/>
              <w:left w:w="75" w:type="dxa"/>
              <w:bottom w:w="75" w:type="dxa"/>
              <w:right w:w="75" w:type="dxa"/>
            </w:tcMar>
          </w:tcPr>
          <w:p>
            <w:pPr>
              <w:spacing w:after="60" w:before="60"/>
            </w:pPr>
            <w:r>
              <w:rPr>
                <w:sz w:val="20"/>
              </w:rPr>
              <w:t>Mobile telecoms 3</w:t>
            </w:r>
          </w:p>
        </w:tc>
        <w:tc>
          <w:tcPr>
            <w:tcW w:type="dxa" w:w="1944"/>
            <w:vAlign w:val="center"/>
            <w:tcMar>
              <w:top w:w="75" w:type="dxa"/>
              <w:left w:w="75" w:type="dxa"/>
              <w:bottom w:w="75" w:type="dxa"/>
              <w:right w:w="75" w:type="dxa"/>
            </w:tcMar>
          </w:tcPr>
          <w:p>
            <w:pPr>
              <w:spacing w:after="60" w:before="60"/>
            </w:pPr>
            <w:r>
              <w:rPr>
                <w:sz w:val="20"/>
              </w:rPr>
              <w:t>1000</w:t>
            </w:r>
          </w:p>
        </w:tc>
        <w:tc>
          <w:tcPr>
            <w:tcW w:type="dxa" w:w="2376"/>
            <w:vAlign w:val="center"/>
            <w:tcMar>
              <w:top w:w="75" w:type="dxa"/>
              <w:left w:w="75" w:type="dxa"/>
              <w:bottom w:w="75" w:type="dxa"/>
              <w:right w:w="75" w:type="dxa"/>
            </w:tcMar>
          </w:tcPr>
          <w:p>
            <w:pPr>
              <w:spacing w:after="60" w:before="60"/>
            </w:pPr>
            <w:r>
              <w:rPr>
                <w:sz w:val="20"/>
              </w:rPr>
              <w:t>1577</w:t>
            </w:r>
          </w:p>
        </w:tc>
        <w:tc>
          <w:tcPr>
            <w:tcW w:type="dxa" w:w="2304"/>
            <w:vAlign w:val="center"/>
            <w:tcMar>
              <w:top w:w="75" w:type="dxa"/>
              <w:left w:w="75" w:type="dxa"/>
              <w:bottom w:w="75" w:type="dxa"/>
              <w:right w:w="75" w:type="dxa"/>
            </w:tcMar>
          </w:tcPr>
          <w:p>
            <w:pPr>
              <w:spacing w:after="60" w:before="60"/>
            </w:pPr>
            <w:r>
              <w:rPr>
                <w:sz w:val="20"/>
              </w:rPr>
              <w:t>99</w:t>
            </w:r>
          </w:p>
        </w:tc>
      </w:tr>
    </w:tbl>
    <w:p>
      <w:r>
        <w:t>Across the two sectors and three waves there are 6,000 customer rows and 9,413 used channel blocks. All 6,000 company source rows and 9,413 source channel records must be recoverable without changing values, labels, dates, IDs or missingness. No-channel customers must remain present. The optional supplement is not included in these counts.</w:t>
      </w:r>
    </w:p>
    <w:p>
      <w:r>
        <w:t>Before analysis, verify key uniqueness, exact company context, all used/unused block routes, digital and staff-only skips, pending outcomes, primary-reason membership, exclusive staying flags, journey sequencing, competitor comparability and unchanged code labels. Reconcile source-to-combined mapping and the reference arithmetic. Optional JSON absence must not block ordinary import.</w:t>
      </w:r>
    </w:p>
    <w:p>
      <w:r>
        <w:t>Keep original stored derived values and compare recalculations as validation rather than overwriting. Unrounded metric references should agree within 0.000001 in their declared units; one-decimal displays within 0.05. A source channel=0 reference denotes a pooled experience estimate, not the person base or a whole-journey measure.</w:t>
      </w:r>
    </w:p>
    <w:p>
      <w:r>
        <w:t>The Claude instructions are a written handoff for a later authorised implementation. Preserve the existing application font, layout and #2563eb accent. This pack does not change the app, deploy code, contact Claude, authorise fieldwork or establish that any app has passed acceptance tests.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