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banking Claude combined implementation instructions</w:t>
      </w:r>
    </w:p>
    <w:p>
      <w:pPr>
        <w:pStyle w:val="Subtitle"/>
      </w:pPr>
      <w:r>
        <w:t>Written handoff for a later authorised application update</w:t>
      </w:r>
    </w:p>
    <w:p>
      <w:r>
        <w:t>Extend the importer for one combined current customer source. Preserve the app font, layout, navigation and working components, with only #2563eb as the accent. Do not rebuild, retheme or change existing metrics. This handoff does not authorise app changes, deployment or communication with Claude.</w:t>
      </w:r>
    </w:p>
    <w:p>
      <w:pPr>
        <w:pStyle w:val="Heading1"/>
      </w:pPr>
      <w:r>
        <w:t>Required inputs and schema contract</w:t>
      </w:r>
    </w:p>
    <w:p>
      <w:r>
        <w:t>Use the combined questionnaire, Master_Combined_CSM_Codebook.xlsx and data/Banking_CSM_Combined_Wave_N.xlsx, N=1 to 3. Import Respondents only: 1,000 rows and 400 fields per wave. Codebook, Labels and MR sets are metadata. CSV files are exports; optional reference or JSON files must never become XLSX import dependencies.</w:t>
      </w:r>
    </w:p>
    <w:p>
      <w:r>
        <w:t>There are 100 company fields and four 75 field channel blocks. Preserve the 98 original company fields and 58 original fields per channel exactly. The 70 additive columns comprise journey_angry5 and journey_disappointed5 plus 17 new fields per channel. Two are emotions and 15 are call diagnostics, blank outside channel 1. Prefix channel suffixes ch01_ through ch04_. Questions use C. and CH01. through CH04. namespaces.</w:t>
      </w:r>
    </w:p>
    <w:p>
      <w:r>
        <w:t>Shared context appears once: respondent_id, interview_date, wave, company, weight, age, age_band, gender, province, income, settlement, segment and tenure_months. All 13 match across the source company and channel records. Preserve original weights, dates, codes, text IDs, leading zeroes and structural blanks. Never silently recode or repair originals.</w:t>
      </w:r>
    </w:p>
    <w:p>
      <w:pPr>
        <w:pStyle w:val="Heading1"/>
      </w:pPr>
      <w:r>
        <w:t>Importer steps</w:t>
      </w:r>
    </w:p>
    <w:p>
      <w:pPr>
        <w:pStyle w:val="ListBullet"/>
        <w:spacing w:after="80"/>
      </w:pPr>
      <w:r>
        <w:t>Validate exact headers and metadata. Key by study, sector, wave and text respondent_id; require one respondent wave record, validate company and never join by row position. Read company and journey outcomes once per person, keeping no channel customers.</w:t>
      </w:r>
    </w:p>
    <w:p>
      <w:pPr>
        <w:pStyle w:val="ListBullet"/>
        <w:spacing w:after="80"/>
      </w:pPr>
      <w:r>
        <w:t>Map 1 Call centre, 2 Branch, 3 Digital self service and 4 Messaging or live chat. For each used channel, expose one latest experience with the canonical respondent context and weight. Keep experience_id and contact_date; require the channel code to match its block. Digital mode retains app versus website.</w:t>
      </w:r>
    </w:p>
    <w:p>
      <w:pPr>
        <w:pStyle w:val="ListBullet"/>
        <w:spacing w:after="80"/>
      </w:pPr>
      <w:r>
        <w:t>Require all 75 fields blank in an unused block. Keep unprefixed channel use and none flags and contact counts as actual zero or one or count values. A derived long view may unpivot populated blocks only, keyed by person and channel with experience_id validated. Never duplicate company or journey measures or treat recalled counts as extra records.</w:t>
      </w:r>
    </w:p>
    <w:p>
      <w:r>
        <w:t>data/Banking_CSM_Combined_All_Waves.xlsx and CSV exactly concatenate 3,000 rows with original wave labels and weights. Import either the three individual wave files or All_Waves, never both: cases would duplicate. Also choose combined or separate format sources, never both representations in one customer analysis. Default to one wave. Independent cross sections are not a panel; never silently renormalise weights or infer within person change. Reject conflicts visibly rather than dropping or inventing data.</w:t>
      </w:r>
    </w:p>
    <w:p>
      <w:pPr>
        <w:pStyle w:val="Heading1"/>
        <w:pageBreakBefore/>
      </w:pPr>
      <w:r>
        <w:t>Expanded call centre and IVR module</w:t>
      </w:r>
    </w:p>
    <w:p>
      <w:r>
        <w:t>New call fields are ch01_ prefixed. call_agent_contact is an explicit 0 No, 1 Yes, 99 Do not know screen. Existing calls retain staff_contact=1 and call_agent_contact=1; never infer agent absence from a negative politeness rating. Future IVR only calls, not represented in these fixtures, route to no agent items. Original routes and values remain unchanged.</w:t>
      </w:r>
    </w:p>
    <w:tbl>
      <w:tblPr>
        <w:tblW w:type="auto" w:w="0"/>
        <w:jc w:val="center"/>
        <w:tblLayout w:type="fixed"/>
        <w:tblLook w:firstColumn="1" w:firstRow="1" w:lastColumn="0" w:lastRow="0" w:noHBand="0" w:noVBand="1" w:val="04A0"/>
      </w:tblPr>
      <w:tblGrid>
        <w:gridCol w:w="2952"/>
        <w:gridCol w:w="6696"/>
      </w:tblGrid>
      <w:tr>
        <w:trPr>
          <w:cantSplit/>
          <w:tblHeader/>
        </w:trPr>
        <w:tc>
          <w:tcPr>
            <w:tcW w:type="dxa" w:w="2952"/>
            <w:vAlign w:val="center"/>
            <w:tcMar>
              <w:top w:w="70" w:type="dxa"/>
              <w:left w:w="70" w:type="dxa"/>
              <w:bottom w:w="70" w:type="dxa"/>
              <w:right w:w="70" w:type="dxa"/>
            </w:tcMar>
            <w:shd w:fill="EDEDED"/>
          </w:tcPr>
          <w:p>
            <w:pPr>
              <w:spacing w:after="40" w:before="40"/>
            </w:pPr>
            <w:r>
              <w:rPr>
                <w:rFonts w:ascii="Arial" w:hAnsi="Arial"/>
                <w:b/>
                <w:color w:val="000000"/>
                <w:sz w:val="22"/>
              </w:rPr>
              <w:t>Eligible calls</w:t>
            </w:r>
          </w:p>
        </w:tc>
        <w:tc>
          <w:tcPr>
            <w:tcW w:type="dxa" w:w="6696"/>
            <w:vAlign w:val="center"/>
            <w:tcMar>
              <w:top w:w="70" w:type="dxa"/>
              <w:left w:w="70" w:type="dxa"/>
              <w:bottom w:w="70" w:type="dxa"/>
              <w:right w:w="70" w:type="dxa"/>
            </w:tcMar>
            <w:shd w:fill="EDEDED"/>
          </w:tcPr>
          <w:p>
            <w:pPr>
              <w:spacing w:after="40" w:before="40"/>
            </w:pPr>
            <w:r>
              <w:rPr>
                <w:rFonts w:ascii="Arial" w:hAnsi="Arial"/>
                <w:b/>
                <w:color w:val="000000"/>
                <w:sz w:val="22"/>
              </w:rPr>
              <w:t>New suffixes and routes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All calls</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total_call_time_csat5; call_agent_contact screen</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contact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queue_wait_csat5 even when wait is zero; agent_overall_csat5; agent_ownership5; agent_patience5; agent_promise_made and urgency_need screens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transferred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correct_person_first_transfer; binary answer with 99 Do not know</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promise made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agent_promises_kept5; promises due by now only</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urgency need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agent_urgency5</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used_ivr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ivr_availability5; ivr_response_speed5; ivr_information_accuracy5; ivr_ease5; retain existing IVR CSAT and clarity</w:t>
            </w:r>
          </w:p>
        </w:tc>
      </w:tr>
    </w:tbl>
    <w:p>
      <w:r>
        <w:t>Queue wait, total call time and agent overall ratings use CSAT 1 Very dissatisfied to 5 Very satisfied, with 99 Do not know. Ownership, promises kept, patience and urgency use agreement 1 Strongly disagree, 2 Disagree, 3 Neither agree nor disagree, 4 Agree, 5 Strongly agree; 98 Not applicable, 99 Do not know. Promises kept additionally allows 9 Not yet due or too early to tell, excluded from valid 1 to 5 bases, not failure. Preserve coherence with existing not yet due callbacks.</w:t>
      </w:r>
    </w:p>
    <w:p>
      <w:r>
        <w:t>IVR performance uses 1 Very poor, 2 Poor, 3 Adequate, 4 Good, 5 Excellent; 98 Not applicable and 99 Do not know. All screens use 0 No, 1 Yes, 99 Do not know. Leave new call diagnostics blank in channels 2 to 4 and every unused block. Render call and IVR cards only for eligible codebook routes, never from prefix existence. Include all modules in fixture tests; they may be optional for separately specified real fieldwork.</w:t>
      </w:r>
    </w:p>
    <w:p>
      <w:pPr>
        <w:pStyle w:val="Heading1"/>
      </w:pPr>
      <w:r>
        <w:t>Retain the original metric rules</w:t>
      </w:r>
    </w:p>
    <w:p>
      <w:r>
        <w:t>CSAT top two is 4 to 5 among valid 1 to 5; NPS is percent 9 to 10 minus percent 0 to 6 among all valid 0 to 10. Continue intention top two is 4 to 5; switching risk uses raw 8 to 10, higher worse. Ease is mean 1 to 7 or percent 6 to 7. Do not combine satisfaction, performance, agreement and intensity just because their codes resemble each other.</w:t>
      </w:r>
    </w:p>
    <w:p>
      <w:r>
        <w:t>FCR requires a problem, full resolution and one contact, among problem cases with known resolution 1 to 3. Show task Yes No Pending. Exclude pending from FCR and not yet due from kept callbacks. Quality means require both domain items valid; full assurance and empathy are unavailable for self service. Keep staff, IVR and physical facility routes. Blanks, 98, 99, pending 9 and valid zeroes are distinct; minutes and digital seconds are different units.</w:t>
      </w:r>
    </w:p>
    <w:p>
      <w:pPr>
        <w:pStyle w:val="Heading1"/>
        <w:pageBreakBefore/>
      </w:pPr>
      <w:r>
        <w:t>Company channel and journey views</w:t>
      </w:r>
    </w:p>
    <w:p>
      <w:r>
        <w:t>Retain existing company, relationship detail, channel, loyalty and wave views using current components. Company measures count one person once. Label a channel filtered company score customers who used that channel. Show experience and distinct customer bases for multiple channels.</w:t>
      </w:r>
    </w:p>
    <w:p>
      <w:r>
        <w:t>Journey continuity uses journey_recent30=1 respondent rows. Show the independent task anchor, ordered journey_sequence, contacts, channel combination, digital mode, transfers, repeated information, status and journey CSAT. Never infer one journey from independent latest channel blocks or average their ratings into journey satisfaction. Show journey_completed among known final statuses 1 to 3 beside pending status 9 share among all recent journeys.</w:t>
      </w:r>
    </w:p>
    <w:p>
      <w:pPr>
        <w:pStyle w:val="Heading1"/>
      </w:pPr>
      <w:r>
        <w:t>Six emotions preference and staying</w:t>
      </w:r>
    </w:p>
    <w:p>
      <w:r>
        <w:t>Show reassured, valued, frustrated, anxious, angry and disappointed separately at channel and journey grain, with matching explanation text. New suffixes channel_angry5 and channel_disappointed5 repeat in each used block; journey_angry5 and journey_disappointed5 need a recent journey. Use 1 Not at all, 2 A little, 3 Moderately, 4 Very, 5 Extremely; 99 Do not know. Angry or disappointed 4 to 5 means high negative intensity, not favourable CSAT. Mixed emotions are valid; never create a net index or invent quotations.</w:t>
      </w:r>
    </w:p>
    <w:p>
      <w:r>
        <w:t>experience_preference5, each channel_preference5 and journey_preference5 measure agreement, not CSAT. Staying reasons are multiple response with exclusive None and Do not know and a primary reason selected from the answers. Preference and constraints can coexist; continuing use alone is not genuine loyalty.</w:t>
      </w:r>
    </w:p>
    <w:p>
      <w:pPr>
        <w:pStyle w:val="Heading1"/>
      </w:pPr>
      <w:r>
        <w:t>Paired competitor and supplemental samples</w:t>
      </w:r>
    </w:p>
    <w:p>
      <w:r>
        <w:t>Benchmark eligibility requires personal same task type alternative use within 30 days, a different provider, task match and two valid 1 to 5 ratings. Take the weighted mean of within person benchmark_gap5, main minus alternative, in scale points. Channel comparison additionally requires a single journey channel matching benchmark_channel. Never subtract independently filtered means. Show Not measured for ineligible cases, with bases and exclusions.</w:t>
      </w:r>
    </w:p>
    <w:p>
      <w:r>
        <w:t>Load optional supplemental_noncustomers/Banking_CSM_Noncustomer_Wave_N.xlsx from Noncustomers as Focal noncustomers, never as combined customers. Enforce focal_company=1 (FNB) and current_focal_use=0 including secondary use. There are 500 separate anonymous respondents per wave with unit weights. Awareness gates consideration and expected service. No focal CSAT, NPS or experienced emotion may be derived. Alternative CSAT needs a personally used task, channel and valid recent window.</w:t>
      </w:r>
    </w:p>
    <w:p>
      <w:r>
        <w:t>Show future expectations and retrospective customer performance as separate profiles, not a paired expectations gap or pre and post change. Never pool the samples for market share or prevalence. Supplied text and planted data patterns are fictional; these are not actual provider findings.</w:t>
      </w:r>
    </w:p>
    <w:p>
      <w:pPr>
        <w:pStyle w:val="Heading1"/>
        <w:pageBreakBefore/>
      </w:pPr>
      <w:r>
        <w:t>Weights comparisons and exports</w:t>
      </w:r>
    </w:p>
    <w:p>
      <w:r>
        <w:t>Use one unchanged respondent weight for company and journey outcomes and once per person in a selected channel. Never divide by channels used or multiply by recalled contacts. Pooling populated blocks changes the unit to latest customer channel experiences, with repeated people. Original channel=0 reference metrics use that pooled base. Show experience n and distinct customer n.</w:t>
      </w:r>
    </w:p>
    <w:p>
      <w:r>
        <w:t>Channel results from one person are dependent; do not apply independent sample tests. Inference must handle within person dependence and the design; weights only Kish effective n does not. Flag raw valid n below 50 and suppress inference below 30 as declared fixture rules. No causal effects, market shares, observed churn, licensed ACSI or original SERVQUAL claims are supported. Mobile MVNO provider codes are not independent infrastructure networks.</w:t>
      </w:r>
    </w:p>
    <w:p>
      <w:r>
        <w:t>Export grain, sample type, wave, provider, task and period filters, metric definition, raw valid n, weighted base, missing or pending counts and a synthetic data label. Apply every filter to eligible numerators and denominators together.</w:t>
      </w:r>
    </w:p>
    <w:p>
      <w:pPr>
        <w:pStyle w:val="Heading1"/>
      </w:pPr>
      <w:r>
        <w:t>Data acceptance tests</w:t>
      </w:r>
    </w:p>
    <w:p>
      <w:pPr>
        <w:pStyle w:val="ListBullet"/>
        <w:spacing w:after="80"/>
      </w:pPr>
      <w:r>
        <w:t>Check each sector wave: 1,000 respondent keys and 400 fields comprising 100 company and four 75 field blocks. The original 330 column projection and inverse unpivot must recover every original value and source channel record, including the 13 shared fields. All_Waves must exactly concatenate the three files, retaining weights and wave labels.</w:t>
      </w:r>
    </w:p>
    <w:tbl>
      <w:tblPr>
        <w:tblW w:type="auto" w:w="0"/>
        <w:jc w:val="center"/>
        <w:tblLayout w:type="fixed"/>
        <w:tblLook w:firstColumn="1" w:firstRow="1" w:lastColumn="0" w:lastRow="0" w:noHBand="0" w:noVBand="1" w:val="04A0"/>
      </w:tblPr>
      <w:tblGrid>
        <w:gridCol w:w="792"/>
        <w:gridCol w:w="1656"/>
        <w:gridCol w:w="3528"/>
        <w:gridCol w:w="367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Wave</w:t>
            </w:r>
          </w:p>
        </w:tc>
        <w:tc>
          <w:tcPr>
            <w:tcW w:type="dxa" w:w="1656"/>
            <w:vAlign w:val="center"/>
            <w:tcMar>
              <w:top w:w="70" w:type="dxa"/>
              <w:left w:w="70" w:type="dxa"/>
              <w:bottom w:w="70" w:type="dxa"/>
              <w:right w:w="70" w:type="dxa"/>
            </w:tcMar>
            <w:shd w:fill="EDEDED"/>
          </w:tcPr>
          <w:p>
            <w:pPr>
              <w:spacing w:after="40" w:before="40"/>
            </w:pPr>
            <w:r>
              <w:rPr>
                <w:rFonts w:ascii="Arial" w:hAnsi="Arial"/>
                <w:b/>
                <w:color w:val="000000"/>
                <w:sz w:val="22"/>
              </w:rPr>
              <w:t>Customers</w:t>
            </w:r>
          </w:p>
        </w:tc>
        <w:tc>
          <w:tcPr>
            <w:tcW w:type="dxa" w:w="3528"/>
            <w:vAlign w:val="center"/>
            <w:tcMar>
              <w:top w:w="70" w:type="dxa"/>
              <w:left w:w="70" w:type="dxa"/>
              <w:bottom w:w="70" w:type="dxa"/>
              <w:right w:w="70" w:type="dxa"/>
            </w:tcMar>
            <w:shd w:fill="EDEDED"/>
          </w:tcPr>
          <w:p>
            <w:pPr>
              <w:spacing w:after="40" w:before="40"/>
            </w:pPr>
            <w:r>
              <w:rPr>
                <w:rFonts w:ascii="Arial" w:hAnsi="Arial"/>
                <w:b/>
                <w:color w:val="000000"/>
                <w:sz w:val="22"/>
              </w:rPr>
              <w:t>Populated blocks</w:t>
            </w:r>
          </w:p>
        </w:tc>
        <w:tc>
          <w:tcPr>
            <w:tcW w:type="dxa" w:w="3672"/>
            <w:vAlign w:val="center"/>
            <w:tcMar>
              <w:top w:w="70" w:type="dxa"/>
              <w:left w:w="70" w:type="dxa"/>
              <w:bottom w:w="70" w:type="dxa"/>
              <w:right w:w="70" w:type="dxa"/>
            </w:tcMar>
            <w:shd w:fill="EDEDED"/>
          </w:tcPr>
          <w:p>
            <w:pPr>
              <w:spacing w:after="40" w:before="40"/>
            </w:pPr>
            <w:r>
              <w:rPr>
                <w:rFonts w:ascii="Arial" w:hAnsi="Arial"/>
                <w:b/>
                <w:color w:val="000000"/>
                <w:sz w:val="22"/>
              </w:rPr>
              <w:t>No channel customers</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1,615</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95</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1,653</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85</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1,569</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88</w:t>
            </w:r>
          </w:p>
        </w:tc>
      </w:tr>
    </w:tbl>
    <w:p>
      <w:pPr>
        <w:pStyle w:val="ListBullet"/>
        <w:spacing w:after="80"/>
      </w:pPr>
      <w:r>
        <w:t>Test no channel, one and four used channels, app and website, counts exceeding blocks, IVR users and nonusers, zero queue wait, all live agent gates, promise and urgency screens, first transfer routing and promises not yet due. Include a future IVR only route test without changing existing calls.</w:t>
      </w:r>
    </w:p>
    <w:p>
      <w:pPr>
        <w:pStyle w:val="ListBullet"/>
        <w:spacing w:after="80"/>
      </w:pPr>
      <w:r>
        <w:t>Test absent and pending journeys, ordered paths, all six mixed emotions, exclusive staying answers, selected primary reasons, noncomparable competitor tasks or channels, 98, 99, blanks, valid zeroes, low bases and unaware noncustomers. Missing optional JSON must not block import. Validate new synthetic fields separately from source preservation.</w:t>
      </w:r>
    </w:p>
    <w:p>
      <w:pPr>
        <w:pStyle w:val="Heading1"/>
      </w:pPr>
      <w:r>
        <w:t>Application acceptance after authorised implementation</w:t>
      </w:r>
    </w:p>
    <w:p>
      <w:r>
        <w:t>Run validators and preservation checks, then compare actual app aggregates with retained references: unrounded percentages and scale points within 0.000001, one decimal displays within 0.05. Fixture checks alone do not establish app acceptance. Verify existing view regressions, filter bases, exports, error states and unchanged font, layout, navigation and sole #2563eb accent in the target app. Do not claim completion before these pass.</w:t>
      </w:r>
    </w:p>
    <w:p>
      <w:r>
        <w:t>Production code execution, deployment, brand list changes, recruitment and communication need separate authorisation. This pack supplies written instructions only.</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banking Claude combined implementation instructions</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