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mobile telecoms combined CSM research brief</w:t>
      </w:r>
    </w:p>
    <w:p>
      <w:pPr>
        <w:pStyle w:val="Subtitle"/>
      </w:pPr>
      <w:r>
        <w:t>One current customer instrument and one respondent dataset per wave</w:t>
      </w:r>
    </w:p>
    <w:p>
      <w:r>
        <w:t>The research team needs one coherent tracker for overall company relationships and recent channel experiences. The combined design keeps each person once, then records the latest experience in every channel they used. This is a fictional Vodacom commissioning brief for synthetic demonstration data, not an instruction issued by that company.</w:t>
      </w:r>
    </w:p>
    <w:p>
      <w:pPr>
        <w:pStyle w:val="Heading1"/>
      </w:pPr>
      <w:r>
        <w:t>Decisions and measurement objectives</w:t>
      </w:r>
    </w:p>
    <w:p>
      <w:r>
        <w:t>Identify relationship strengths, switching risks, service failures and priorities for investigation. Cover company satisfaction, expectations, service performance and importance, fairness, trust, recommendation, continuing use, complaints and stated switching intentions. Recent channel modules cover satisfaction, ease, task completion, resolution, repeated contact, waiting, IVR, staff treatment and physical facilities where applicable.</w:t>
      </w:r>
    </w:p>
    <w:p>
      <w:r>
        <w:t>Preserve the expanded anchored journey, channel continuity, emotions and explanations, experience led preference and staying reasons. Add anger and disappointment alongside reassurance, feeling valued, frustration and anxiety, plus fuller call centre and IVR diagnostics. Preference can coexist with habit or switching constraints. Competitive evidence requires personal recent use of the same task type.</w:t>
      </w:r>
    </w:p>
    <w:p>
      <w:pPr>
        <w:pStyle w:val="Heading1"/>
      </w:pPr>
      <w:r>
        <w:t>Population and sample</w:t>
      </w:r>
    </w:p>
    <w:p>
      <w:r>
        <w:t>Adults aged 18 to 69 who currently use a personal mobile voice or data service. Rate the provider of the connection used most, not every SIM owned. Include prepaid, contract and hybrid; exclude fixed fibre and home only fixed wireless.</w:t>
      </w:r>
    </w:p>
    <w:p>
      <w:r>
        <w:t>Use three independent waves of 1,000 current customers each, with illustrative field periods in February, June and October 2026. These are repeated cross sections, not a panel. Keep the fixed provider allocations below; they are demonstration quotas, not market shares.</w:t>
      </w:r>
    </w:p>
    <w:tbl>
      <w:tblPr>
        <w:tblW w:type="auto" w:w="0"/>
        <w:jc w:val="center"/>
        <w:tblLayout w:type="fixed"/>
        <w:tblLook w:firstColumn="1" w:firstRow="1" w:lastColumn="0" w:lastRow="0" w:noHBand="0" w:noVBand="1" w:val="04A0"/>
      </w:tblPr>
      <w:tblGrid>
        <w:gridCol w:w="792"/>
        <w:gridCol w:w="6624"/>
        <w:gridCol w:w="2232"/>
      </w:tblGrid>
      <w:tr>
        <w:trPr>
          <w:cantSplit/>
          <w:tblHeader/>
        </w:trPr>
        <w:tc>
          <w:tcPr>
            <w:tcW w:type="dxa" w:w="792"/>
            <w:vAlign w:val="center"/>
            <w:tcMar>
              <w:top w:w="70" w:type="dxa"/>
              <w:left w:w="70" w:type="dxa"/>
              <w:bottom w:w="70" w:type="dxa"/>
              <w:right w:w="70" w:type="dxa"/>
            </w:tcMar>
            <w:shd w:fill="EDEDED"/>
          </w:tcPr>
          <w:p>
            <w:pPr>
              <w:spacing w:after="40" w:before="40"/>
            </w:pPr>
            <w:r>
              <w:rPr>
                <w:rFonts w:ascii="Arial" w:hAnsi="Arial"/>
                <w:b/>
                <w:color w:val="000000"/>
                <w:sz w:val="22"/>
              </w:rPr>
              <w:t>Code</w:t>
            </w:r>
          </w:p>
        </w:tc>
        <w:tc>
          <w:tcPr>
            <w:tcW w:type="dxa" w:w="6624"/>
            <w:vAlign w:val="center"/>
            <w:tcMar>
              <w:top w:w="70" w:type="dxa"/>
              <w:left w:w="70" w:type="dxa"/>
              <w:bottom w:w="70" w:type="dxa"/>
              <w:right w:w="70" w:type="dxa"/>
            </w:tcMar>
            <w:shd w:fill="EDEDED"/>
          </w:tcPr>
          <w:p>
            <w:pPr>
              <w:spacing w:after="40" w:before="40"/>
            </w:pPr>
            <w:r>
              <w:rPr>
                <w:rFonts w:ascii="Arial" w:hAnsi="Arial"/>
                <w:b/>
                <w:color w:val="000000"/>
                <w:sz w:val="22"/>
              </w:rPr>
              <w:t>Main provider</w:t>
            </w:r>
          </w:p>
        </w:tc>
        <w:tc>
          <w:tcPr>
            <w:tcW w:type="dxa" w:w="2232"/>
            <w:vAlign w:val="center"/>
            <w:tcMar>
              <w:top w:w="70" w:type="dxa"/>
              <w:left w:w="70" w:type="dxa"/>
              <w:bottom w:w="70" w:type="dxa"/>
              <w:right w:w="70" w:type="dxa"/>
            </w:tcMar>
            <w:shd w:fill="EDEDED"/>
          </w:tcPr>
          <w:p>
            <w:pPr>
              <w:spacing w:after="40" w:before="40"/>
            </w:pPr>
            <w:r>
              <w:rPr>
                <w:rFonts w:ascii="Arial" w:hAnsi="Arial"/>
                <w:b/>
                <w:color w:val="000000"/>
                <w:sz w:val="22"/>
              </w:rPr>
              <w:t>Cases per wave</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1</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Vodacom</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320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2</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MTN</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300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3</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Telkom Mobile</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160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4</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Cell C</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100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5</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FNB Connect</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60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6</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Capitec Connect</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60</w:t>
            </w:r>
          </w:p>
        </w:tc>
      </w:tr>
    </w:tbl>
    <w:p>
      <w:r>
        <w:t>Retail MVNO brands remain distinct provider codes; do not describe them as independent infrastructure networks.</w:t>
      </w:r>
    </w:p>
    <w:p>
      <w:pPr>
        <w:pStyle w:val="Heading1"/>
      </w:pPr>
      <w:r>
        <w:t>Recall and interview order</w:t>
      </w:r>
    </w:p>
    <w:p>
      <w:r>
        <w:t>Ask company measures before detailed experience questions. Company ratings cover the past three months or since joining if shorter. Screen channel use over the past 30 days, then ask only the latest interaction in each used channel. Recalled contact counts are not a register of every interaction.</w:t>
      </w:r>
    </w:p>
    <w:p>
      <w:pPr>
        <w:pStyle w:val="Heading1"/>
        <w:pageBreakBefore/>
      </w:pPr>
      <w:r>
        <w:t>One interview and one combined row</w:t>
      </w:r>
    </w:p>
    <w:p>
      <w:r>
        <w:t>Collect eligibility and shared context once, then the company module, loyalty and complaint routes, the channel screen, the used channel modules and one independently anchored journey with eligible competitor follow up. Carry shared context and the canonical customer weight into all analyses rather than asking or storing duplicates.</w:t>
      </w:r>
    </w:p>
    <w:tbl>
      <w:tblPr>
        <w:tblW w:type="auto" w:w="0"/>
        <w:jc w:val="center"/>
        <w:tblLayout w:type="fixed"/>
        <w:tblLook w:firstColumn="1" w:firstRow="1" w:lastColumn="0" w:lastRow="0" w:noHBand="0" w:noVBand="1" w:val="04A0"/>
      </w:tblPr>
      <w:tblGrid>
        <w:gridCol w:w="1224"/>
        <w:gridCol w:w="3384"/>
        <w:gridCol w:w="5040"/>
      </w:tblGrid>
      <w:tr>
        <w:trPr>
          <w:cantSplit/>
          <w:tblHeader/>
        </w:trPr>
        <w:tc>
          <w:tcPr>
            <w:tcW w:type="dxa" w:w="1224"/>
            <w:vAlign w:val="center"/>
            <w:tcMar>
              <w:top w:w="70" w:type="dxa"/>
              <w:left w:w="70" w:type="dxa"/>
              <w:bottom w:w="70" w:type="dxa"/>
              <w:right w:w="70" w:type="dxa"/>
            </w:tcMar>
            <w:shd w:fill="EDEDED"/>
          </w:tcPr>
          <w:p>
            <w:pPr>
              <w:spacing w:after="40" w:before="40"/>
            </w:pPr>
            <w:r>
              <w:rPr>
                <w:rFonts w:ascii="Arial" w:hAnsi="Arial"/>
                <w:b/>
                <w:color w:val="000000"/>
                <w:sz w:val="22"/>
              </w:rPr>
              <w:t>Channel code</w:t>
            </w:r>
          </w:p>
        </w:tc>
        <w:tc>
          <w:tcPr>
            <w:tcW w:type="dxa" w:w="3384"/>
            <w:vAlign w:val="center"/>
            <w:tcMar>
              <w:top w:w="70" w:type="dxa"/>
              <w:left w:w="70" w:type="dxa"/>
              <w:bottom w:w="70" w:type="dxa"/>
              <w:right w:w="70" w:type="dxa"/>
            </w:tcMar>
            <w:shd w:fill="EDEDED"/>
          </w:tcPr>
          <w:p>
            <w:pPr>
              <w:spacing w:after="40" w:before="40"/>
            </w:pPr>
            <w:r>
              <w:rPr>
                <w:rFonts w:ascii="Arial" w:hAnsi="Arial"/>
                <w:b/>
                <w:color w:val="000000"/>
                <w:sz w:val="22"/>
              </w:rPr>
              <w:t>Module</w:t>
            </w:r>
          </w:p>
        </w:tc>
        <w:tc>
          <w:tcPr>
            <w:tcW w:type="dxa" w:w="5040"/>
            <w:vAlign w:val="center"/>
            <w:tcMar>
              <w:top w:w="70" w:type="dxa"/>
              <w:left w:w="70" w:type="dxa"/>
              <w:bottom w:w="70" w:type="dxa"/>
              <w:right w:w="70" w:type="dxa"/>
            </w:tcMar>
            <w:shd w:fill="EDEDED"/>
          </w:tcPr>
          <w:p>
            <w:pPr>
              <w:spacing w:after="40" w:before="40"/>
            </w:pPr>
            <w:r>
              <w:rPr>
                <w:rFonts w:ascii="Arial" w:hAnsi="Arial"/>
                <w:b/>
                <w:color w:val="000000"/>
                <w:sz w:val="22"/>
              </w:rPr>
              <w:t>Record rule</w:t>
            </w:r>
          </w:p>
        </w:tc>
      </w:tr>
      <w:tr>
        <w:trPr>
          <w:cantSplit/>
        </w:trPr>
        <w:tc>
          <w:tcPr>
            <w:tcW w:type="dxa" w:w="1224"/>
            <w:vAlign w:val="center"/>
            <w:tcMar>
              <w:top w:w="70" w:type="dxa"/>
              <w:left w:w="70" w:type="dxa"/>
              <w:bottom w:w="70" w:type="dxa"/>
              <w:right w:w="70" w:type="dxa"/>
            </w:tcMar>
          </w:tcPr>
          <w:p>
            <w:pPr>
              <w:spacing w:after="40" w:before="40"/>
            </w:pPr>
            <w:r>
              <w:rPr>
                <w:rFonts w:ascii="Arial" w:hAnsi="Arial"/>
                <w:b w:val="0"/>
                <w:color w:val="000000"/>
                <w:sz w:val="22"/>
              </w:rPr>
              <w:t>1</w:t>
            </w:r>
          </w:p>
        </w:tc>
        <w:tc>
          <w:tcPr>
            <w:tcW w:type="dxa" w:w="3384"/>
            <w:vAlign w:val="center"/>
            <w:tcMar>
              <w:top w:w="70" w:type="dxa"/>
              <w:left w:w="70" w:type="dxa"/>
              <w:bottom w:w="70" w:type="dxa"/>
              <w:right w:w="70" w:type="dxa"/>
            </w:tcMar>
          </w:tcPr>
          <w:p>
            <w:pPr>
              <w:spacing w:after="40" w:before="40"/>
            </w:pPr>
            <w:r>
              <w:rPr>
                <w:rFonts w:ascii="Arial" w:hAnsi="Arial"/>
                <w:b w:val="0"/>
                <w:color w:val="000000"/>
                <w:sz w:val="22"/>
              </w:rPr>
              <w:t>Call centre</w:t>
            </w:r>
          </w:p>
        </w:tc>
        <w:tc>
          <w:tcPr>
            <w:tcW w:type="dxa" w:w="5040"/>
            <w:vAlign w:val="center"/>
            <w:tcMar>
              <w:top w:w="70" w:type="dxa"/>
              <w:left w:w="70" w:type="dxa"/>
              <w:bottom w:w="70" w:type="dxa"/>
              <w:right w:w="70" w:type="dxa"/>
            </w:tcMar>
          </w:tcPr>
          <w:p>
            <w:pPr>
              <w:spacing w:after="40" w:before="40"/>
            </w:pPr>
            <w:r>
              <w:rPr>
                <w:rFonts w:ascii="Arial" w:hAnsi="Arial"/>
                <w:b w:val="0"/>
                <w:color w:val="000000"/>
                <w:sz w:val="22"/>
              </w:rPr>
              <w:t>Latest used experience in 30 days</w:t>
            </w:r>
          </w:p>
        </w:tc>
      </w:tr>
      <w:tr>
        <w:trPr>
          <w:cantSplit/>
        </w:trPr>
        <w:tc>
          <w:tcPr>
            <w:tcW w:type="dxa" w:w="1224"/>
            <w:vAlign w:val="center"/>
            <w:tcMar>
              <w:top w:w="70" w:type="dxa"/>
              <w:left w:w="70" w:type="dxa"/>
              <w:bottom w:w="70" w:type="dxa"/>
              <w:right w:w="70" w:type="dxa"/>
            </w:tcMar>
          </w:tcPr>
          <w:p>
            <w:pPr>
              <w:spacing w:after="40" w:before="40"/>
            </w:pPr>
            <w:r>
              <w:rPr>
                <w:rFonts w:ascii="Arial" w:hAnsi="Arial"/>
                <w:b w:val="0"/>
                <w:color w:val="000000"/>
                <w:sz w:val="22"/>
              </w:rPr>
              <w:t>2</w:t>
            </w:r>
          </w:p>
        </w:tc>
        <w:tc>
          <w:tcPr>
            <w:tcW w:type="dxa" w:w="3384"/>
            <w:vAlign w:val="center"/>
            <w:tcMar>
              <w:top w:w="70" w:type="dxa"/>
              <w:left w:w="70" w:type="dxa"/>
              <w:bottom w:w="70" w:type="dxa"/>
              <w:right w:w="70" w:type="dxa"/>
            </w:tcMar>
          </w:tcPr>
          <w:p>
            <w:pPr>
              <w:spacing w:after="40" w:before="40"/>
            </w:pPr>
            <w:r>
              <w:rPr>
                <w:rFonts w:ascii="Arial" w:hAnsi="Arial"/>
                <w:b w:val="0"/>
                <w:color w:val="000000"/>
                <w:sz w:val="22"/>
              </w:rPr>
              <w:t>Retail store or shop</w:t>
            </w:r>
          </w:p>
        </w:tc>
        <w:tc>
          <w:tcPr>
            <w:tcW w:type="dxa" w:w="5040"/>
            <w:vAlign w:val="center"/>
            <w:tcMar>
              <w:top w:w="70" w:type="dxa"/>
              <w:left w:w="70" w:type="dxa"/>
              <w:bottom w:w="70" w:type="dxa"/>
              <w:right w:w="70" w:type="dxa"/>
            </w:tcMar>
          </w:tcPr>
          <w:p>
            <w:pPr>
              <w:spacing w:after="40" w:before="40"/>
            </w:pPr>
            <w:r>
              <w:rPr>
                <w:rFonts w:ascii="Arial" w:hAnsi="Arial"/>
                <w:b w:val="0"/>
                <w:color w:val="000000"/>
                <w:sz w:val="22"/>
              </w:rPr>
              <w:t>Latest used experience in 30 days</w:t>
            </w:r>
          </w:p>
        </w:tc>
      </w:tr>
      <w:tr>
        <w:trPr>
          <w:cantSplit/>
        </w:trPr>
        <w:tc>
          <w:tcPr>
            <w:tcW w:type="dxa" w:w="1224"/>
            <w:vAlign w:val="center"/>
            <w:tcMar>
              <w:top w:w="70" w:type="dxa"/>
              <w:left w:w="70" w:type="dxa"/>
              <w:bottom w:w="70" w:type="dxa"/>
              <w:right w:w="70" w:type="dxa"/>
            </w:tcMar>
          </w:tcPr>
          <w:p>
            <w:pPr>
              <w:spacing w:after="40" w:before="40"/>
            </w:pPr>
            <w:r>
              <w:rPr>
                <w:rFonts w:ascii="Arial" w:hAnsi="Arial"/>
                <w:b w:val="0"/>
                <w:color w:val="000000"/>
                <w:sz w:val="22"/>
              </w:rPr>
              <w:t>3</w:t>
            </w:r>
          </w:p>
        </w:tc>
        <w:tc>
          <w:tcPr>
            <w:tcW w:type="dxa" w:w="3384"/>
            <w:vAlign w:val="center"/>
            <w:tcMar>
              <w:top w:w="70" w:type="dxa"/>
              <w:left w:w="70" w:type="dxa"/>
              <w:bottom w:w="70" w:type="dxa"/>
              <w:right w:w="70" w:type="dxa"/>
            </w:tcMar>
          </w:tcPr>
          <w:p>
            <w:pPr>
              <w:spacing w:after="40" w:before="40"/>
            </w:pPr>
            <w:r>
              <w:rPr>
                <w:rFonts w:ascii="Arial" w:hAnsi="Arial"/>
                <w:b w:val="0"/>
                <w:color w:val="000000"/>
                <w:sz w:val="22"/>
              </w:rPr>
              <w:t>Digital self service</w:t>
            </w:r>
          </w:p>
        </w:tc>
        <w:tc>
          <w:tcPr>
            <w:tcW w:type="dxa" w:w="5040"/>
            <w:vAlign w:val="center"/>
            <w:tcMar>
              <w:top w:w="70" w:type="dxa"/>
              <w:left w:w="70" w:type="dxa"/>
              <w:bottom w:w="70" w:type="dxa"/>
              <w:right w:w="70" w:type="dxa"/>
            </w:tcMar>
          </w:tcPr>
          <w:p>
            <w:pPr>
              <w:spacing w:after="40" w:before="40"/>
            </w:pPr>
            <w:r>
              <w:rPr>
                <w:rFonts w:ascii="Arial" w:hAnsi="Arial"/>
                <w:b w:val="0"/>
                <w:color w:val="000000"/>
                <w:sz w:val="22"/>
              </w:rPr>
              <w:t>Keep app or website in digital_mode</w:t>
            </w:r>
          </w:p>
        </w:tc>
      </w:tr>
      <w:tr>
        <w:trPr>
          <w:cantSplit/>
        </w:trPr>
        <w:tc>
          <w:tcPr>
            <w:tcW w:type="dxa" w:w="1224"/>
            <w:vAlign w:val="center"/>
            <w:tcMar>
              <w:top w:w="70" w:type="dxa"/>
              <w:left w:w="70" w:type="dxa"/>
              <w:bottom w:w="70" w:type="dxa"/>
              <w:right w:w="70" w:type="dxa"/>
            </w:tcMar>
          </w:tcPr>
          <w:p>
            <w:pPr>
              <w:spacing w:after="40" w:before="40"/>
            </w:pPr>
            <w:r>
              <w:rPr>
                <w:rFonts w:ascii="Arial" w:hAnsi="Arial"/>
                <w:b w:val="0"/>
                <w:color w:val="000000"/>
                <w:sz w:val="22"/>
              </w:rPr>
              <w:t>4</w:t>
            </w:r>
          </w:p>
        </w:tc>
        <w:tc>
          <w:tcPr>
            <w:tcW w:type="dxa" w:w="3384"/>
            <w:vAlign w:val="center"/>
            <w:tcMar>
              <w:top w:w="70" w:type="dxa"/>
              <w:left w:w="70" w:type="dxa"/>
              <w:bottom w:w="70" w:type="dxa"/>
              <w:right w:w="70" w:type="dxa"/>
            </w:tcMar>
          </w:tcPr>
          <w:p>
            <w:pPr>
              <w:spacing w:after="40" w:before="40"/>
            </w:pPr>
            <w:r>
              <w:rPr>
                <w:rFonts w:ascii="Arial" w:hAnsi="Arial"/>
                <w:b w:val="0"/>
                <w:color w:val="000000"/>
                <w:sz w:val="22"/>
              </w:rPr>
              <w:t>Messaging or live chat</w:t>
            </w:r>
          </w:p>
        </w:tc>
        <w:tc>
          <w:tcPr>
            <w:tcW w:type="dxa" w:w="5040"/>
            <w:vAlign w:val="center"/>
            <w:tcMar>
              <w:top w:w="70" w:type="dxa"/>
              <w:left w:w="70" w:type="dxa"/>
              <w:bottom w:w="70" w:type="dxa"/>
              <w:right w:w="70" w:type="dxa"/>
            </w:tcMar>
          </w:tcPr>
          <w:p>
            <w:pPr>
              <w:spacing w:after="40" w:before="40"/>
            </w:pPr>
            <w:r>
              <w:rPr>
                <w:rFonts w:ascii="Arial" w:hAnsi="Arial"/>
                <w:b w:val="0"/>
                <w:color w:val="000000"/>
                <w:sz w:val="22"/>
              </w:rPr>
              <w:t>Staff assisted interaction</w:t>
            </w:r>
          </w:p>
        </w:tc>
      </w:tr>
    </w:tbl>
    <w:p>
      <w:r>
        <w:t>Unused channel blocks stay entirely blank. The original channel use flags, none flag and contact counts remain their original 0 or 1 or count values. A customer using four channels is still one person in company scores. Latest experiences from different channels need not concern the same task; never combine them into an invented journey.</w:t>
      </w:r>
    </w:p>
    <w:p>
      <w:pPr>
        <w:pStyle w:val="Heading1"/>
      </w:pPr>
      <w:r>
        <w:t>Deliverable contract</w:t>
      </w:r>
    </w:p>
    <w:p>
      <w:pPr>
        <w:pStyle w:val="ListBullet"/>
        <w:spacing w:after="80"/>
      </w:pPr>
      <w:r>
        <w:t>One combined current customer questionnaire and Master_Combined_CSM_Codebook.xlsx for this sector. Question references use C. for company and shared questions, and CH01. to CH04. for the corresponding channel modules.</w:t>
      </w:r>
    </w:p>
    <w:p>
      <w:pPr>
        <w:pStyle w:val="ListBullet"/>
        <w:spacing w:after="80"/>
      </w:pPr>
      <w:r>
        <w:t>Three data/Mobile_CSM_Combined_Wave_N.xlsx workbooks, N from 1 to 3, with matching CSV exports. Each Respondents sheet has 1,000 rows and 400 fields: 100 company fields and four 75 field channel blocks. All 98 original company fields and 58 original fields per channel are preserved; 70 columns are additive.</w:t>
      </w:r>
    </w:p>
    <w:p>
      <w:pPr>
        <w:pStyle w:val="ListBullet"/>
        <w:spacing w:after="80"/>
      </w:pPr>
      <w:r>
        <w:t>data/Mobile_CSM_Combined_All_Waves.xlsx and CSV concatenate the three waves into 3,000 records with original wave labels and weights. Default to a wave filter; these are independent samples, never a customer panel.</w:t>
      </w:r>
    </w:p>
    <w:p>
      <w:pPr>
        <w:pStyle w:val="ListBullet"/>
        <w:spacing w:after="80"/>
      </w:pPr>
      <w:r>
        <w:t>A combined dashboard and analysis guide, written Claude implementation instructions and preserved reference metrics. The questionnaire, matching codebook and combined XLSX files are sufficient for normal use; optional JSON is not an import dependency.</w:t>
      </w:r>
    </w:p>
    <w:p>
      <w:r>
        <w:t>The optional supplemental_noncustomers folder remains separate and unchanged: 500 independent Vodacom noncustomers per wave, with no current focal use even as a secondary provider, new anonymous IDs and unit weights. Keep its questionnaire and workbooks outside the combined customer base. Expectations and consideration are not unexperienced focal satisfaction.</w:t>
      </w:r>
    </w:p>
    <w:p>
      <w:pPr>
        <w:pStyle w:val="Heading1"/>
      </w:pPr>
      <w:r>
        <w:t>Acceptance and fieldwork controls</w:t>
      </w:r>
    </w:p>
    <w:p>
      <w:r>
        <w:t>Preserve original values, codes, dates, IDs, weights, blanks and pending outcomes exactly. Add new synthetic responses without overwriting source fields. Test all modules; the expanded diagnostic modules can be optional in a separately specified real study. Keep labelled five point CSAT, NPS on 0 to 10 and ease on 1 to 7. Show valid bases and low base warnings; no causal, market ranking, observed churn or certified index claims are supported.</w:t>
      </w:r>
    </w:p>
    <w:p>
      <w:r>
        <w:t>Before real fieldwork, agree consent, privacy, retention, access, pilot and recruitment. Cost pilot, recruitment, interviewing, weighting, processing and reporting separately. This delivery changes files only; any later app implementation must preserve the existing font and layout and use only #2563eb as its accent. It does not authorise contact with Claude, app changes or deployment.</w:t>
      </w:r>
    </w:p>
    <w:sectPr w:rsidR="00FC693F" w:rsidRPr="0006063C" w:rsidSect="00034616">
      <w:footerReference w:type="default" r:id="rId9"/>
      <w:pgSz w:w="11909" w:h="16834"/>
      <w:pgMar w:top="1008" w:right="1094" w:bottom="1008" w:left="109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52" w:lineRule="auto"/>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252" w:lineRule="auto"/>
      <w:outlineLvl w:val="1"/>
    </w:pPr>
    <w:rPr>
      <w:rFonts w:asciiTheme="majorHAnsi" w:eastAsiaTheme="majorEastAsia" w:hAnsiTheme="majorHAnsi" w:cstheme="majorBidi" w:ascii="Arial" w:hAnsi="Arial"/>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52" w:lineRule="auto" w:before="0"/>
      <w:contextualSpacing/>
    </w:pPr>
    <w:rPr>
      <w:rFonts w:asciiTheme="majorHAnsi" w:eastAsiaTheme="majorEastAsia" w:hAnsiTheme="majorHAnsi" w:cstheme="majorBidi" w:ascii="Arial" w:hAnsi="Arial"/>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2" w:lineRule="auto" w:after="24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2" w:lineRule="auto" w:after="120"/>
      <w:contextualSpacing/>
    </w:pPr>
    <w:rPr>
      <w:rFonts w:ascii="Arial" w:hAnsi="Arial"/>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2" w:lineRule="auto" w:after="120"/>
      <w:contextualSpacing/>
    </w:pPr>
    <w:rPr>
      <w:rFonts w:ascii="Arial" w:hAnsi="Arial"/>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African mobile telecoms combined CSM research brief</dc:title>
  <dc:subject>Combined company and channel customer satisfaction measurement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