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combined dashboard and analysis guide</w:t>
      </w:r>
    </w:p>
    <w:p>
      <w:pPr>
        <w:pStyle w:val="Subtitle"/>
      </w:pPr>
      <w:r>
        <w:t>One respondent source with distinct company channel and journey measures</w:t>
      </w:r>
    </w:p>
    <w:p>
      <w:r>
        <w:t>Read the combined respondent row once. Company and journey measures count people; channel measures count the latest experience in the selected channel. A wide file does not make these outcomes interchangeable. Keep their populations, recall periods and valid bases visible.</w:t>
      </w:r>
    </w:p>
    <w:p>
      <w:pPr>
        <w:pStyle w:val="Heading1"/>
      </w:pPr>
      <w:r>
        <w:t>Files and schema</w:t>
      </w:r>
    </w:p>
    <w:p>
      <w:r>
        <w:t>Import either data/Mobile_CSM_Combined_Wave_N.xlsx for N=1 to 3, 1,000 rows each, or data/Mobile_CSM_Combined_All_Waves.xlsx with 3,000 rows, never both: cases would duplicate. Likewise choose combined or separate format sources, never both representations in one customer analysis. Read Respondents only; default to one wave. Use embedded metadata, Master_Combined_CSM_Codebook.xlsx and the combined questionnaire. JSON is not required; references are not respondents.</w:t>
      </w:r>
    </w:p>
    <w:p>
      <w:r>
        <w:t>The 400 fields comprise 100 company fields and four 75 field channel blocks. Preserve 98 original company fields and 58 source fields per channel without recoding. Add two journey emotions and 17 fields per channel: two emotions and 15 call diagnostics. Prefix ch01_ through ch04_; retain experience_id and channel code. Question namespaces use C. and CH01. through CH04. prefixes.</w:t>
      </w:r>
    </w:p>
    <w:p>
      <w:r>
        <w:t>The 13 shared fields were equal across all 9,413 source channel rows in both sectors: respondent_id, interview_date, wave, company, weight, age, age_band, gender, province, income, settlement, segment and tenure_months. Store these once; do not duplicate demographics or weights.</w:t>
      </w:r>
    </w:p>
    <w:p>
      <w:pPr>
        <w:pStyle w:val="Heading1"/>
      </w:pPr>
      <w:r>
        <w:t>Views and analysis units</w:t>
      </w:r>
    </w:p>
    <w:tbl>
      <w:tblPr>
        <w:tblW w:type="auto" w:w="0"/>
        <w:jc w:val="center"/>
        <w:tblLayout w:type="fixed"/>
        <w:tblLook w:firstColumn="1" w:firstRow="1" w:lastColumn="0" w:lastRow="0" w:noHBand="0" w:noVBand="1" w:val="04A0"/>
      </w:tblPr>
      <w:tblGrid>
        <w:gridCol w:w="2520"/>
        <w:gridCol w:w="7128"/>
      </w:tblGrid>
      <w:tr>
        <w:trPr>
          <w:cantSplit/>
          <w:tblHeader/>
        </w:trPr>
        <w:tc>
          <w:tcPr>
            <w:tcW w:type="dxa" w:w="2520"/>
            <w:vAlign w:val="center"/>
            <w:tcMar>
              <w:top w:w="70" w:type="dxa"/>
              <w:left w:w="70" w:type="dxa"/>
              <w:bottom w:w="70" w:type="dxa"/>
              <w:right w:w="70" w:type="dxa"/>
            </w:tcMar>
            <w:shd w:fill="EDEDED"/>
          </w:tcPr>
          <w:p>
            <w:pPr>
              <w:spacing w:after="40" w:before="40"/>
            </w:pPr>
            <w:r>
              <w:rPr>
                <w:rFonts w:ascii="Arial" w:hAnsi="Arial"/>
                <w:b/>
                <w:color w:val="000000"/>
                <w:sz w:val="22"/>
              </w:rPr>
              <w:t>View</w:t>
            </w:r>
          </w:p>
        </w:tc>
        <w:tc>
          <w:tcPr>
            <w:tcW w:type="dxa" w:w="7128"/>
            <w:vAlign w:val="center"/>
            <w:tcMar>
              <w:top w:w="70" w:type="dxa"/>
              <w:left w:w="70" w:type="dxa"/>
              <w:bottom w:w="70" w:type="dxa"/>
              <w:right w:w="70" w:type="dxa"/>
            </w:tcMar>
            <w:shd w:fill="EDEDED"/>
          </w:tcPr>
          <w:p>
            <w:pPr>
              <w:spacing w:after="40" w:before="40"/>
            </w:pPr>
            <w:r>
              <w:rPr>
                <w:rFonts w:ascii="Arial" w:hAnsi="Arial"/>
                <w:b/>
                <w:color w:val="000000"/>
                <w:sz w:val="22"/>
              </w:rPr>
              <w:t>Unit and content</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Company overview</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customer per wave; CSAT, NPS, continuing use, switching intentions and complaints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Relationship detail</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Customer drivers and importance, fairness, trust, products, tenure and reasons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Channel overview and detail</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latest experience per used channel; CSAT, ease, outcomes, quality and audits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Journey continuity</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independently anchored task per eligible customer; path, friction and outcome</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Loyalty and priorities</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Stated preference, staying reasons, recovery and descriptive priorities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Optional noncustomer context</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Separate supplemental sample; awareness, expectations and consideration</w:t>
            </w:r>
          </w:p>
        </w:tc>
      </w:tr>
    </w:tbl>
    <w:p>
      <w:pPr>
        <w:pStyle w:val="Heading1"/>
      </w:pPr>
      <w:r>
        <w:t>Keys and conditional modules</w:t>
      </w:r>
    </w:p>
    <w:p>
      <w:r>
        <w:t>Key by sector, wave and exact text respondent_id; include study if needed. Validate company. Never join by row order or numeric ID conversion. An unused block is entirely blank, not zero ratings. Keep original channel_used_c01 to c04, channel_contacts_c01 to c04 and channel_none values.</w:t>
      </w:r>
    </w:p>
    <w:p>
      <w:r>
        <w:t>Channel 1 is Call centre; 2 is Retail store or shop; 3 is Digital self service; 4 is Messaging or live chat. Digital includes app and website, distinguished by digital_mode. One block is the latest record, not all recalled contacts.</w:t>
      </w:r>
    </w:p>
    <w:p>
      <w:pPr>
        <w:pStyle w:val="Heading1"/>
        <w:pageBreakBefore/>
      </w:pPr>
      <w:r>
        <w:t>Metric definitions and valid bases</w:t>
      </w:r>
    </w:p>
    <w:p>
      <w:r>
        <w:t>Weighted percent is 100 times the sum of numerator weights divided by the sum of valid base weights, using the same eligible records. Show raw valid n and weighted base. Exclude labelled nonresponse 99, not applicable 98 and structural blanks as specified; retain valid zeroes.</w:t>
      </w:r>
    </w:p>
    <w:tbl>
      <w:tblPr>
        <w:tblW w:type="auto" w:w="0"/>
        <w:jc w:val="center"/>
        <w:tblLayout w:type="fixed"/>
        <w:tblLook w:firstColumn="1" w:firstRow="1" w:lastColumn="0" w:lastRow="0" w:noHBand="0" w:noVBand="1" w:val="04A0"/>
      </w:tblPr>
      <w:tblGrid>
        <w:gridCol w:w="1944"/>
        <w:gridCol w:w="3744"/>
        <w:gridCol w:w="3960"/>
      </w:tblGrid>
      <w:tr>
        <w:trPr>
          <w:cantSplit/>
          <w:tblHeader/>
        </w:trPr>
        <w:tc>
          <w:tcPr>
            <w:tcW w:type="dxa" w:w="1944"/>
            <w:vAlign w:val="center"/>
            <w:tcMar>
              <w:top w:w="70" w:type="dxa"/>
              <w:left w:w="70" w:type="dxa"/>
              <w:bottom w:w="70" w:type="dxa"/>
              <w:right w:w="70" w:type="dxa"/>
            </w:tcMar>
            <w:shd w:fill="EDEDED"/>
          </w:tcPr>
          <w:p>
            <w:pPr>
              <w:spacing w:after="40" w:before="40"/>
            </w:pPr>
            <w:r>
              <w:rPr>
                <w:rFonts w:ascii="Arial" w:hAnsi="Arial"/>
                <w:b/>
                <w:color w:val="000000"/>
                <w:sz w:val="22"/>
              </w:rPr>
              <w:t>Measure</w:t>
            </w:r>
          </w:p>
        </w:tc>
        <w:tc>
          <w:tcPr>
            <w:tcW w:type="dxa" w:w="3744"/>
            <w:vAlign w:val="center"/>
            <w:tcMar>
              <w:top w:w="70" w:type="dxa"/>
              <w:left w:w="70" w:type="dxa"/>
              <w:bottom w:w="70" w:type="dxa"/>
              <w:right w:w="70" w:type="dxa"/>
            </w:tcMar>
            <w:shd w:fill="EDEDED"/>
          </w:tcPr>
          <w:p>
            <w:pPr>
              <w:spacing w:after="40" w:before="40"/>
            </w:pPr>
            <w:r>
              <w:rPr>
                <w:rFonts w:ascii="Arial" w:hAnsi="Arial"/>
                <w:b/>
                <w:color w:val="000000"/>
                <w:sz w:val="22"/>
              </w:rPr>
              <w:t>Numerator or statistic</w:t>
            </w:r>
          </w:p>
        </w:tc>
        <w:tc>
          <w:tcPr>
            <w:tcW w:type="dxa" w:w="3960"/>
            <w:vAlign w:val="center"/>
            <w:tcMar>
              <w:top w:w="70" w:type="dxa"/>
              <w:left w:w="70" w:type="dxa"/>
              <w:bottom w:w="70" w:type="dxa"/>
              <w:right w:w="70" w:type="dxa"/>
            </w:tcMar>
            <w:shd w:fill="EDEDED"/>
          </w:tcPr>
          <w:p>
            <w:pPr>
              <w:spacing w:after="40" w:before="40"/>
            </w:pPr>
            <w:r>
              <w:rPr>
                <w:rFonts w:ascii="Arial" w:hAnsi="Arial"/>
                <w:b/>
                <w:color w:val="000000"/>
                <w:sz w:val="22"/>
              </w:rPr>
              <w:t>Valid base</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Five point CSAT</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Top two 4 to 5; top box 5; bottom two 1 to 2; mean or full distribution</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ratings 1 to 5</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NPS</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9 to 10 minus percent 0 to 6</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All valid 0 to 10 including passives 7 to 8</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Continue intention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4 to 5</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1 to 5; an intention not observed retention</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Switching risk</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raw scores 8 to 10; higher is worse</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0 to 10; declared fixture cut off</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Ease</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Mean 1 to 7 or percent 6 to 7</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1 to 7; higher is easier</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First contact resolution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Problem fully resolved and contacts_same_need equals 1</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Problem cases with known resolution 1 to 3</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Task completion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Show Yes No and Pending distribution</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Eligible experiences; retain pending status 9</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On time callback</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callback_outcome equals 1</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Promised callbacks with outcome 1 to 3; exclude not yet due 9</w:t>
            </w:r>
          </w:p>
        </w:tc>
      </w:tr>
    </w:tbl>
    <w:p>
      <w:r>
        <w:t>NPS ranges from minus 100 to 100, not percent satisfied. Performance top two means Good or Excellent; preference top two means Agree or Strongly agree. Identical codes do not make these the same construct.</w:t>
      </w:r>
    </w:p>
    <w:p>
      <w:pPr>
        <w:pStyle w:val="Heading1"/>
      </w:pPr>
      <w:r>
        <w:t>Service quality and process audits</w:t>
      </w:r>
    </w:p>
    <w:p>
      <w:r>
        <w:t>The ten performance items form paired reliability, responsiveness, assurance, empathy and access and clarity domains. Each mean needs both items valid 1 to 5. Staff knowledge and empathy are blank for self service, so full assurance and empathy means are unavailable there. Never average missing staff domains into a digital total.</w:t>
      </w:r>
    </w:p>
    <w:p>
      <w:r>
        <w:t>Facilities apply only to channel 2 Retail store; transfers, hold, callbacks and IVR to call centre routes. IVR ratings need used_ivr=1; staff audits need staff_contact=1. Wait and handling use minutes, digital response seconds. Zero wait is valid. These adapted domains are not original SERVQUAL gap scores or a licensed ACSI index.</w:t>
      </w:r>
    </w:p>
    <w:p>
      <w:pPr>
        <w:pStyle w:val="Heading1"/>
      </w:pPr>
      <w:r>
        <w:t>Expanded call centre and IVR diagnostics</w:t>
      </w:r>
    </w:p>
    <w:p>
      <w:r>
        <w:t>Queue wait CSAT requires live agent contact, including zero wait; total call time CSAT covers all calls; agent overall CSAT requires live agent contact. Correct first transfer uses transferred live agent calls. Ownership and patience use agreement, as do promises kept when agent_promise_made=1 and urgency handling when urgency_need=1, both live agent routes. Exclude agreement 98 and 99, and promises kept 9 Not yet due or too early to tell, from valid 1 to 5 bases; 9 is not failure.</w:t>
      </w:r>
    </w:p>
    <w:p>
      <w:r>
        <w:t>call_agent_contact supports future IVR only calls, absent from these fixtures; original calls retain staff_contact=1 and call_agent_contact=1. IVR availability, speed, accuracy and ease use performance 1 Very poor to 5 Excellent with 98/99 among used_ivr=1. Keep IVR CSAT and clarity. Blank ch02 to ch04 call fields must not create cards; honour codebook routes, not prefix existence.</w:t>
      </w:r>
    </w:p>
    <w:p>
      <w:pPr>
        <w:pStyle w:val="Heading1"/>
        <w:pageBreakBefore/>
      </w:pPr>
      <w:r>
        <w:t>Journey continuity</w:t>
      </w:r>
    </w:p>
    <w:p>
      <w:r>
        <w:t>Use journey_recent30=1 on the respondent row. The journey is independently anchored to one task, with its own ID, task, first and last contact recency, selected channels, ordered sequence, contact count, digital mode, transfers, repeated information, outcome and overall CSAT. Count that person once. Do not infer a path from the four latest channel blocks or average channel scores to manufacture journey satisfaction.</w:t>
      </w:r>
    </w:p>
    <w:p>
      <w:r>
        <w:t>journey_completed equals 1 for status 1 and 0 for statuses 2 or 3; pending 9 and absent journeys are blank. Report completion among known final outcomes and pending share among all eligible journeys together. journey_multichannel uses all valid recent journeys. Transfer and repeat information percentages use valid 0 or 1 answers among recent journeys, excluding 99. A digital path is an app path only when journey_digital_mode supports that description.</w:t>
      </w:r>
    </w:p>
    <w:p>
      <w:pPr>
        <w:pStyle w:val="Heading1"/>
      </w:pPr>
      <w:r>
        <w:t>Emotions preference and staying</w:t>
      </w:r>
    </w:p>
    <w:p>
      <w:r>
        <w:t>Show reassured, valued, frustrated, anxious, angry and disappointed separately at channel and journey level. Each uses intensity 1 Not at all, 2 A little, 3 Moderately, 4 Very, 5 Extremely; 99 Do not know. Use valid 1 to 5 bases and matching explanations. Angry or disappointed 4 to 5 means high negative intensity, not favourable CSAT. Mixed emotions are valid; do not create a net index or invent quotations. Supplied text is fictional.</w:t>
      </w:r>
    </w:p>
    <w:p>
      <w:r>
        <w:t>experience_preference5, prefixed channel_preference5 and journey_preference5 measure agreement, with top two 4 to 5. Keep recall and grain in the label. Staying reasons are multiple response: genuine preference, habit, contractual restriction, switching inconvenience, lack of alternatives and other. None and Do not know are exclusive. Primary reason must be selected or carry the exclusive code. Multiple reason percentages may exceed 100 in total. Continuing use is not proof of genuine loyalty.</w:t>
      </w:r>
    </w:p>
    <w:p>
      <w:pPr>
        <w:pStyle w:val="Heading1"/>
      </w:pPr>
      <w:r>
        <w:t>Comparable recent competitor experience</w:t>
      </w:r>
    </w:p>
    <w:p>
      <w:r>
        <w:t>A paired benchmark requires benchmark_recent_same_task30=1, an alternative provider different from the main company, benchmark_task matching journey_task, personal use 0 to 30 days ago, and both journey_csat5 and benchmark_csat5 valid 1 to 5. benchmark_gap5 is main provider minus alternative in scale points. Average these within person gaps with the canonical customer weight; never subtract independently filtered means.</w:t>
      </w:r>
    </w:p>
    <w:p>
      <w:r>
        <w:t>A channel specific comparison additionally requires the anchored journey to use a single channel matching benchmark_channel. Show eligible raw and weighted bases and excluded or noncomparable counts. Where eligibility fails, show Not measured rather than zero or parity. Selection, recall, complexity and channel mix still differ; the result does not identify a causal provider effect.</w:t>
      </w:r>
    </w:p>
    <w:p>
      <w:pPr>
        <w:pStyle w:val="Heading1"/>
      </w:pPr>
      <w:r>
        <w:t>Optional noncustomer profiles</w:t>
      </w:r>
    </w:p>
    <w:p>
      <w:r>
        <w:t>Keep supplemental_noncustomers/Mobile_CSM_Noncustomer_Wave_N.xlsx separate, using Noncustomers. The 500 supplemental Vodacom noncustomers per wave have no current focal use, including secondary use, and weight=1. Awareness gates focal consideration and expected performance. Never show focal CSAT, NPS, experienced service or emotional outcomes. Alternative CSAT requires alternative_recent30=1 and a personal task, channel and valid 30 day window.</w:t>
      </w:r>
    </w:p>
    <w:p>
      <w:r>
        <w:t>Keep future expectations and retrospective current customer performance as separate profiles with explicit scales and bases. Do not pool these populations for market share or prevalence, or invent a paired expectations gap, pre and post change or provider ranking.</w:t>
      </w:r>
    </w:p>
    <w:p>
      <w:pPr>
        <w:pStyle w:val="Heading1"/>
        <w:pageBreakBefore/>
      </w:pPr>
      <w:r>
        <w:t>Weights dependence and comparisons</w:t>
      </w:r>
    </w:p>
    <w:p>
      <w:r>
        <w:t>Use the unchanged customer weight once per person for company and journey estimates and once in a selected channel. These relative demonstration weights sum to 1,000 per sector wave, not market expansion factors. Dividing by channels used or multiplying by contacts changes the estimand and is not the default.</w:t>
      </w:r>
    </w:p>
    <w:p>
      <w:r>
        <w:t>All_Waves files are exact row concatenations, not longitudinal panels. Preserve wave and its original weights; do not silently renormalise across waves. Default to one wave. Any deliberate pooled estimate must label its cross sectional composition and period, not imply within person change.</w:t>
      </w:r>
    </w:p>
    <w:p>
      <w:r>
        <w:t>Pooling populated blocks counts people once per used channel with the same weight. Label this pooled latest customer channel experiences, showing experience n and distinct customer n. Original channel=0 references use that pooled base, not unique customers, company ratings or journeys.</w:t>
      </w:r>
    </w:p>
    <w:p>
      <w:r>
        <w:t>Channel comparisons involve repeated people and are not independent sample tests. Any inference must account for within person dependence and the relevant design; weights only Kish effective n does not correct dependence or selection bias. The fixtures do not supply full design based inference. Flag raw valid n below 50 and suppress inference below 30 as declared demonstration rules, not universal standards.</w:t>
      </w:r>
    </w:p>
    <w:p>
      <w:pPr>
        <w:pStyle w:val="Heading1"/>
      </w:pPr>
      <w:r>
        <w:t>Filters and descriptive priorities</w:t>
      </w:r>
    </w:p>
    <w:p>
      <w:r>
        <w:t>Provide sector, wave, company, age, gender, province, income, segment, product and tenure filters. Add channel, digital mode, reason, problem and staff contact for channel views; anchored task, path and journey outcome for journey views. A company score filtered to channel users or journey participants changes its population: label that subgroup and still count distinct customers. Apply filters to numerator and denominator together.</w:t>
      </w:r>
    </w:p>
    <w:p>
      <w:r>
        <w:t>Use performance versus stated importance to identify descriptive priorities. Correlations or regressions must use the intended grain, disclose missing data, collinearity and uncertainty, and remain associational. Do not promise causal uplift, churn reduction, ROI or market leadership. The mobile fixture has a wave 2 service decline followed by recovery in wave 3. These are planted synthetic stories, not collected evidence about actual providers.</w:t>
      </w:r>
    </w:p>
    <w:p>
      <w:pPr>
        <w:pStyle w:val="Heading1"/>
      </w:pPr>
      <w:r>
        <w:t>Fixture checks and reporting acceptance</w:t>
      </w:r>
    </w:p>
    <w:tbl>
      <w:tblPr>
        <w:tblW w:type="auto" w:w="0"/>
        <w:jc w:val="center"/>
        <w:tblLayout w:type="fixed"/>
        <w:tblLook w:firstColumn="1" w:firstRow="1" w:lastColumn="0" w:lastRow="0" w:noHBand="0" w:noVBand="1" w:val="04A0"/>
      </w:tblPr>
      <w:tblGrid>
        <w:gridCol w:w="792"/>
        <w:gridCol w:w="1656"/>
        <w:gridCol w:w="3528"/>
        <w:gridCol w:w="367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Wave</w:t>
            </w:r>
          </w:p>
        </w:tc>
        <w:tc>
          <w:tcPr>
            <w:tcW w:type="dxa" w:w="1656"/>
            <w:vAlign w:val="center"/>
            <w:tcMar>
              <w:top w:w="70" w:type="dxa"/>
              <w:left w:w="70" w:type="dxa"/>
              <w:bottom w:w="70" w:type="dxa"/>
              <w:right w:w="70" w:type="dxa"/>
            </w:tcMar>
            <w:shd w:fill="EDEDED"/>
          </w:tcPr>
          <w:p>
            <w:pPr>
              <w:spacing w:after="40" w:before="40"/>
            </w:pPr>
            <w:r>
              <w:rPr>
                <w:rFonts w:ascii="Arial" w:hAnsi="Arial"/>
                <w:b/>
                <w:color w:val="000000"/>
                <w:sz w:val="22"/>
              </w:rPr>
              <w:t>Customers</w:t>
            </w:r>
          </w:p>
        </w:tc>
        <w:tc>
          <w:tcPr>
            <w:tcW w:type="dxa" w:w="3528"/>
            <w:vAlign w:val="center"/>
            <w:tcMar>
              <w:top w:w="70" w:type="dxa"/>
              <w:left w:w="70" w:type="dxa"/>
              <w:bottom w:w="70" w:type="dxa"/>
              <w:right w:w="70" w:type="dxa"/>
            </w:tcMar>
            <w:shd w:fill="EDEDED"/>
          </w:tcPr>
          <w:p>
            <w:pPr>
              <w:spacing w:after="40" w:before="40"/>
            </w:pPr>
            <w:r>
              <w:rPr>
                <w:rFonts w:ascii="Arial" w:hAnsi="Arial"/>
                <w:b/>
                <w:color w:val="000000"/>
                <w:sz w:val="22"/>
              </w:rPr>
              <w:t>Used channel blocks</w:t>
            </w:r>
          </w:p>
        </w:tc>
        <w:tc>
          <w:tcPr>
            <w:tcW w:type="dxa" w:w="3672"/>
            <w:vAlign w:val="center"/>
            <w:tcMar>
              <w:top w:w="70" w:type="dxa"/>
              <w:left w:w="70" w:type="dxa"/>
              <w:bottom w:w="70" w:type="dxa"/>
              <w:right w:w="70" w:type="dxa"/>
            </w:tcMar>
            <w:shd w:fill="EDEDED"/>
          </w:tcPr>
          <w:p>
            <w:pPr>
              <w:spacing w:after="40" w:before="40"/>
            </w:pPr>
            <w:r>
              <w:rPr>
                <w:rFonts w:ascii="Arial" w:hAnsi="Arial"/>
                <w:b/>
                <w:color w:val="000000"/>
                <w:sz w:val="22"/>
              </w:rPr>
              <w:t>No channel customers</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1,498</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1,501</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121</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1,577</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99</w:t>
            </w:r>
          </w:p>
        </w:tc>
      </w:tr>
    </w:tbl>
    <w:p>
      <w:r>
        <w:t>Verify 1,000 distinct respondent keys and 400 fields per wave; All_Waves must exactly concatenate 3,000 rows. Reconstruct the original 330 column projection and source channel records exactly, including shared context. Validate new fields separately. Preserve original reference metrics and bases. Stored unrounded percentages and scale points must agree within 0.000001; one decimal displays within 0.05. Fixture checks alone do not establish app acceptance.</w:t>
      </w:r>
    </w:p>
    <w:p>
      <w:r>
        <w:t>Export metric definition, grain, sample type, wave, provider, task and period filters, valid raw and weighted bases, missing or pending counts and a synthetic label. Keep the historical 97 column workbook and its 0 to 10 measures separate; no five point conversion is justified. The earlier Word attachment is a general template, not the source of these CSM scales.</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mobile telecoms combined dashboard and analysis guide</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