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 brand tracker analysis and import guide</w:t>
      </w:r>
    </w:p>
    <w:p>
      <w:r>
        <w:t>BMW focal brand | Three synthetic South African waves | Measurement and reconstruction specifications</w:t>
      </w:r>
    </w:p>
    <w:p>
      <w:r>
        <w:t>This pack supports the chart families visible in the supplied Timelaps examples, adapted to cars. It reproduces measurement structure and chart inputs, not the coffee percentages or a proprietary Timelaps implementation. All results are generated, not collected or estimated market statistics. No real BMW position is implied.</w:t>
      </w:r>
    </w:p>
    <w:p>
      <w:pPr>
        <w:pStyle w:val="Heading1"/>
      </w:pPr>
      <w:r>
        <w:t>Files and import sequence</w:t>
      </w:r>
    </w:p>
    <w:p>
      <w:r>
        <w:t>Read the client brief and questionnaire first. Import each Wave workbook separately, selecting Respondents as the case-level sheet and using identical raw codes across waves. Each file embeds Codebook and Labels. The master codebook also provides MR sets and chart definitions. Do not import Reference metrics as respondent observations. CSVs are available as alternative raw inputs, but their labels and MR metadata must be attached separately.</w:t>
      </w:r>
    </w:p>
    <w:p>
      <w:r>
        <w:t>IDs are eight-character text values with leading zeros. Wave IDs are unique. A blank means structurally not asked, not 0. Observed 0/1 questions use 0 for a valid nonselection. Income 99 and NPS 99 are explicit nonresponse. Opinion 9 means no opinion and advertising 9 means not sure, so never apply a global missing-value rule to code 9. Raw MR groups do not include exclusive None fields as substantive brands.</w:t>
      </w:r>
    </w:p>
    <w:p>
      <w:pPr>
        <w:pStyle w:val="Heading2"/>
        <w:keepNext/>
      </w:pPr>
      <w:r>
        <w:t>Extension import fields</w:t>
      </w:r>
    </w:p>
    <w:p>
      <w:pPr/>
      <w:r>
        <w:t>The extension adds 49 fields to each wave: 494 original columns become 543. All three waves retain 1,000 respondent rows. Preserve original respondent IDs as text and all original values. The new values are synthetic demonstration fixtures, not additional people or collected evidence. Import their labels and question-specific codes from the embedded Codebook and Labels sheets or Master_Codebook; do not treat reference outputs as respondents.</w:t>
      </w:r>
    </w:p>
    <w:p>
      <w:pPr/>
      <w:r>
        <w:t>Extension clarification to the legacy import advice: the intended dashboard extension automatically recognises constructs from labels, question wording, response codes and routes. A custom JSON file or manual mapping is not a required researcher step. Inspectable diagnostics and targeted confirmation are reserved for genuinely ambiguous matches. The existing caveat about untested application compatibility remains; the supplied files alone do not certify an app import.</w:t>
      </w:r>
    </w:p>
    <w:p>
      <w:pPr>
        <w:pStyle w:val="Heading1"/>
      </w:pPr>
      <w:r>
        <w:t>Funnel and automotive adaptation</w:t>
      </w:r>
    </w:p>
    <w:p>
      <w:r>
        <w:t>The coffee funnel’s recent and frequent buying stages do not transfer well to a durable category. Use awareness, next-vehicle consideration, serious shortlist and first choice for the main automotive funnel. Separately chart current household ownership, past-12-month acquisition and repeat acquisition. Purchase and current intentions need not nest. The sample is vehicle decision makers, not everyone in South Africa.</w:t>
      </w:r>
    </w:p>
    <w:p>
      <w:pPr>
        <w:pStyle w:val="Heading1"/>
      </w:pPr>
      <w:r>
        <w:t>Weighting and uncertainty</w:t>
      </w:r>
    </w:p>
    <w:p>
      <w:r>
        <w:t>Relative weights are synthetic bounded values normalised to sum to approximately 1,000 in each wave. They are not calibrated to Stats SA or any population. Reference outputs include weighted and unweighted results and Kish effective base=(sum w)^2/sum(w^2). No PSU or strata variables exist. For independent-wave descriptive checks, a normal interval p ± 1.96 sqrt[p(1-p)/n_eff] may be used as a weights-only approximation. This is not a design-based interval and does not correct selection bias. A two-proportion wave z comparison uses the sum of the two estimated variances. Paired-brand responses within one wave need paired methods, not independent samples tests. No significance markers are pre-certified in these fixtures.</w:t>
      </w:r>
    </w:p>
    <w:p>
      <w:r>
        <w:t>Display raw base n, weighted base and effective base separately. Flag raw bases below 50 and suppress numeric inference below 30. These are declared demonstration reporting rules, not universal scientific thresholds. Do not interpret a zero denominator as 0%. Exact reference tolerance is 0.000001 percentage points for stored weighted outputs, allowing 0.05pp for one-decimal displays. Preserve full precision until display.</w:t>
      </w:r>
    </w:p>
    <w:p>
      <w:r/>
    </w:p>
    <w:p>
      <w:pPr>
        <w:pStyle w:val="Heading1"/>
      </w:pPr>
      <w:r>
        <w:t>Chart reconstruction map</w:t>
      </w:r>
    </w:p>
    <w:p>
      <w:pPr>
        <w:pStyle w:val="Heading2"/>
      </w:pPr>
      <w:r>
        <w:t>Overview and performance</w:t>
      </w:r>
    </w:p>
    <w:p>
      <w:r>
        <w:t>Variables: aware, consider, shortlist, firstchoice. Base: All 1,000 eligible respondents per wave. Four intention-based stages. BMW focal; competitor average excludes BMW and weights brands equally.</w:t>
      </w:r>
    </w:p>
    <w:p>
      <w:pPr>
        <w:pStyle w:val="Heading2"/>
      </w:pPr>
      <w:r>
        <w:t>Conversion</w:t>
      </w:r>
    </w:p>
    <w:p>
      <w:r>
        <w:t>Variables: Nested funnel indicators. Base: Each preceding stage. Conditional cross-sectional ratios, not causal or observed longitudinal conversion.</w:t>
      </w:r>
    </w:p>
    <w:p>
      <w:pPr>
        <w:pStyle w:val="Heading2"/>
      </w:pPr>
      <w:r>
        <w:t>Timeline</w:t>
      </w:r>
    </w:p>
    <w:p>
      <w:r>
        <w:t>Variables: Same metrics and codes across waves. Base: Independent samples. Compare February, June and October; no matched-person tests.</w:t>
      </w:r>
    </w:p>
    <w:p>
      <w:pPr>
        <w:pStyle w:val="Heading2"/>
      </w:pPr>
      <w:r>
        <w:t>Unfamiliar and rejectors</w:t>
      </w:r>
    </w:p>
    <w:p>
      <w:r>
        <w:t>Variables: aware and opinion. Base: All eligible by default. Unaware != aware without opinion != would never choose. Separate segments.</w:t>
      </w:r>
    </w:p>
    <w:p>
      <w:pPr>
        <w:pStyle w:val="Heading2"/>
      </w:pPr>
      <w:r>
        <w:t>Category moment size</w:t>
      </w:r>
    </w:p>
    <w:p>
      <w:r>
        <w:t>Variables: relevant_c01–c12. Base: All eligible. Multiple response stated situation relevance. Not a rating or market share.</w:t>
      </w:r>
    </w:p>
    <w:p>
      <w:pPr>
        <w:pStyle w:val="Heading2"/>
      </w:pPr>
      <w:r>
        <w:t>Brand moment strength</w:t>
      </w:r>
    </w:p>
    <w:p>
      <w:r>
        <w:t>Variables: cep links and mental flags. Base: All eligible and linked respondents separately. Average links among all differs from network size among linked respondents. Rank descending, ties share rank.</w:t>
      </w:r>
    </w:p>
    <w:p>
      <w:pPr>
        <w:pStyle w:val="Heading2"/>
      </w:pPr>
      <w:r>
        <w:t>Moment by brand matrix</w:t>
      </w:r>
    </w:p>
    <w:p>
      <w:r>
        <w:t>Variables: cep_cXX_bYY. Base: All eligible or brand-aware, labelled. Toggle base explicitly; do not change numerator. Recall asked regardless of personal relevance.</w:t>
      </w:r>
    </w:p>
    <w:p>
      <w:pPr>
        <w:pStyle w:val="Heading2"/>
      </w:pPr>
      <w:r>
        <w:t>Brand fingerprint</w:t>
      </w:r>
    </w:p>
    <w:p>
      <w:r>
        <w:t>Variables: Observed vs expected CEP link counts. Base: All eligible, same wave and weight. Expected=row total × column total / total links. Difference divided by sample weight gives pp. Descriptive, not significance.</w:t>
      </w:r>
    </w:p>
    <w:p>
      <w:r>
        <w:br w:type="page"/>
      </w:r>
    </w:p>
    <w:p>
      <w:pPr>
        <w:pStyle w:val="Heading1"/>
      </w:pPr>
      <w:r>
        <w:t>Chart reconstruction continued</w:t>
      </w:r>
    </w:p>
    <w:p>
      <w:pPr>
        <w:pStyle w:val="Heading2"/>
      </w:pPr>
      <w:r>
        <w:t>Associations</w:t>
      </w:r>
    </w:p>
    <w:p>
      <w:r>
        <w:t>Variables: attr_aXX_bYY. Base: Aware of each brand, default. Pick-any, not agreement. Also provide all-sample reach and equal-brand category mean excluding BMW.</w:t>
      </w:r>
    </w:p>
    <w:p>
      <w:pPr>
        <w:pStyle w:val="Heading2"/>
      </w:pPr>
      <w:r>
        <w:t>Positioning</w:t>
      </w:r>
    </w:p>
    <w:p>
      <w:r>
        <w:t>Variables: Attribute by brand link table. Base: Same input and weighting across brands. Correspondence analysis principal coordinates for brands and attributes. Explain inertia; coordinate proximity is exploratory.</w:t>
      </w:r>
    </w:p>
    <w:p>
      <w:pPr>
        <w:pStyle w:val="Heading2"/>
      </w:pPr>
      <w:r>
        <w:t>Advertising recall</w:t>
      </w:r>
    </w:p>
    <w:p>
      <w:r>
        <w:t>Variables: adprompt and adrecall. Base: All eligible; aware-only optional. Four-week recall. Not sure retained, not verified exposure.</w:t>
      </w:r>
    </w:p>
    <w:p>
      <w:pPr>
        <w:pStyle w:val="Heading2"/>
      </w:pPr>
      <w:r>
        <w:t>Word of mouth</w:t>
      </w:r>
    </w:p>
    <w:p>
      <w:r>
        <w:t>Variables: wom_bYY and awareness. Base: All eligible. Positive, negative, mixed, neutral, not heard and unaware. Any three-way aggregation must be renamed.</w:t>
      </w:r>
    </w:p>
    <w:p>
      <w:pPr>
        <w:pStyle w:val="Heading2"/>
      </w:pPr>
      <w:r>
        <w:t>Category insights</w:t>
      </w:r>
    </w:p>
    <w:p>
      <w:r>
        <w:t>Variables: Repertoires, decision style, acquisition channel and journey. Base: All eligible or past-12-month acquirers. Tracked repertoire excludes Other. Acquisition channel is single response; research journey is MR.</w:t>
      </w:r>
    </w:p>
    <w:p>
      <w:pPr>
        <w:pStyle w:val="Heading2"/>
      </w:pPr>
      <w:r>
        <w:t>Buyer demographics</w:t>
      </w:r>
    </w:p>
    <w:p>
      <w:r>
        <w:t>Variables: bought12 and demographics. Base: Each brand past-12-month acquirers. Compare with eligible category sample; show small bases. No population representation claim.</w:t>
      </w:r>
    </w:p>
    <w:p>
      <w:pPr>
        <w:pStyle w:val="Heading2"/>
      </w:pPr>
      <w:r>
        <w:t>Media</w:t>
      </w:r>
    </w:p>
    <w:p>
      <w:r>
        <w:t>Variables: media_m01–m12. Base: All eligible or brand acquirers. Seven-day media use, not ad effectiveness.</w:t>
      </w:r>
    </w:p>
    <w:p>
      <w:pPr>
        <w:pStyle w:val="Heading2"/>
      </w:pPr>
      <w:r>
        <w:t>NPS extension</w:t>
      </w:r>
    </w:p>
    <w:p>
      <w:r>
        <w:t>Variables: nps_main and main_brand. Base: Known 0–10 main-brand users. Optional. 99 excluded. Not used to fabricate a screenshot metric.</w:t>
      </w:r>
    </w:p>
    <w:p>
      <w:r>
        <w:br w:type="page"/>
      </w:r>
    </w:p>
    <w:p>
      <w:pPr>
        <w:pStyle w:val="Heading1"/>
        <w:keepNext/>
      </w:pPr>
      <w:r>
        <w:t>Extension measurement and chart specifications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336"/>
        <w:gridCol w:w="2592"/>
      </w:tblGrid>
      <w:tr>
        <w:trPr>
          <w:tblHeader/>
          <w:cantSplit/>
        </w:trPr>
        <w:tc>
          <w:tcPr>
            <w:tcW w:type="dxa" w:w="1152"/>
            <w:vAlign w:val="center"/>
            <w:tcMar>
              <w:top w:w="80" w:type="dxa"/>
              <w:bottom w:w="80" w:type="dxa"/>
              <w:left w:w="100" w:type="dxa"/>
              <w:right w:w="100" w:type="dxa"/>
            </w:tcMar>
            <w:shd w:fill="E8EEF5"/>
          </w:tcPr>
          <w:p>
            <w:pPr>
              <w:spacing w:after="0" w:before="0" w:line="252" w:lineRule="auto"/>
            </w:pPr>
            <w:r>
              <w:rPr>
                <w:b/>
                <w:color w:val="000000"/>
                <w:sz w:val="20"/>
              </w:rPr>
              <w:t>Question</w:t>
            </w:r>
          </w:p>
        </w:tc>
        <w:tc>
          <w:tcPr>
            <w:tcW w:type="dxa" w:w="6336"/>
            <w:vAlign w:val="center"/>
            <w:tcMar>
              <w:top w:w="80" w:type="dxa"/>
              <w:bottom w:w="80" w:type="dxa"/>
              <w:left w:w="100" w:type="dxa"/>
              <w:right w:w="100" w:type="dxa"/>
            </w:tcMar>
            <w:shd w:fill="E8EEF5"/>
          </w:tcPr>
          <w:p>
            <w:pPr>
              <w:spacing w:after="0" w:before="0" w:line="252" w:lineRule="auto"/>
            </w:pPr>
            <w:r>
              <w:rPr>
                <w:b/>
                <w:color w:val="000000"/>
                <w:sz w:val="20"/>
              </w:rPr>
              <w:t>Added fields</w:t>
            </w:r>
          </w:p>
        </w:tc>
        <w:tc>
          <w:tcPr>
            <w:tcW w:type="dxa" w:w="2592"/>
            <w:vAlign w:val="center"/>
            <w:tcMar>
              <w:top w:w="80" w:type="dxa"/>
              <w:bottom w:w="80" w:type="dxa"/>
              <w:left w:w="100" w:type="dxa"/>
              <w:right w:w="100" w:type="dxa"/>
            </w:tcMar>
            <w:shd w:fill="E8EEF5"/>
          </w:tcPr>
          <w:p>
            <w:pPr>
              <w:spacing w:after="0" w:before="0" w:line="252" w:lineRule="auto"/>
            </w:pPr>
            <w:r>
              <w:rPr>
                <w:b/>
                <w:color w:val="000000"/>
                <w:sz w:val="20"/>
              </w:rPr>
              <w:t>Count and type</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E1</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needsfit_b01 to needsfit_b10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E2</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different_b01 to different_b10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E3</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pricejustify_b01 to pricejustify_b10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route</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choice_episode_eligible</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derived route</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and E5</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choice_actual, choice_actual_other, choice_ideal, choice_ideal_other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2 brand codes and 2 text fields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Derived</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choice_gap</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paired episode flag</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E6</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choice_barrier_r01 to choice_barrier_r10, choice_barrier_none, choice_barrier_dk, choice_barrier_other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MR flags, 2 exclusive flags and 1 text field</w:t>
            </w:r>
          </w:p>
        </w:tc>
      </w:tr>
    </w:tbl>
    <w:p>
      <w:pPr>
        <w:pStyle w:val="Heading2"/>
        <w:keepNext/>
      </w:pPr>
      <w:r>
        <w:t>Needs fit and meaningful differentiation</w:t>
      </w:r>
    </w:p>
    <w:p>
      <w:pPr/>
      <w:r>
        <w:t>Use needsfit_bXX and different_bXX independently. Each is asked only when aware_bXX=1, on a five-point agreement scale: 1 Strongly disagree; 2 Disagree; 3 Neither agree nor disagree; 4 Agree; 5 Strongly agree. Code 9 is Do not know enough to judge. Blank is not asked, not zero. Show the full valid 1–5 distribution, top-two-box percentage (4 or 5 divided by valid 1–5 ratings), optional labelled mean, and trends. Disclose aware, valid-rating and code-9 bases separately. Never substitute pick-any attribute counts.</w:t>
      </w:r>
    </w:p>
    <w:p>
      <w:pPr>
        <w:pStyle w:val="Heading2"/>
        <w:keepNext/>
      </w:pPr>
      <w:r>
        <w:t>Perceived price justification</w:t>
      </w:r>
    </w:p>
    <w:p>
      <w:pPr/>
      <w:r>
        <w:t>Use pricejustify_bXX with the same 1–5 agreement labels and awareness route. Wording compares whether the brand is worth its purchase or lease price for comparable vehicles relative to alternatives that meet similar needs. Code 9 is “Not familiar enough with its prices to judge”; exclude it from ratings, show it separately on the asked aware base, and never recode it as neutral. Keep this separate from good value for money and from actual expenditure, premium acceptance, willingness to pay, price elasticity or pricing power.</w:t>
      </w:r>
    </w:p>
    <w:p>
      <w:pPr>
        <w:pStyle w:val="Heading2"/>
        <w:keepNext/>
      </w:pPr>
      <w:r>
        <w:t>Same episode ideal and actual choice</w:t>
      </w:r>
    </w:p>
    <w:p>
      <w:pPr/>
      <w:r>
        <w:t>choice_episode_eligible=1 if last_acquired=1, otherwise 0. E4 actual and E5 ideal both refer to the most recent household passenger vehicle purchase or lease in the past 12 months including new and used vehicles. The actual brand is newly captured, not inferred from current/main brand or any recent-event MR list. The ideal is recalled for the time of that same event before restrictions. Existing future first_choice and firstchoice_bXX remain unchanged.</w:t>
      </w:r>
    </w:p>
    <w:p>
      <w:pPr/>
      <w:r>
        <w:t>Actual and ideal use roster codes 1–10 and 96 Other named brand with conditional text; 99 is Cannot recall, and ideal additionally permits 98 No particular ideal brand at the time. Derive choice_gap only for two known identities: 0 same, 1 different. Normalise Other names by trimming, case-folding and collapsing whitespace, and resolve confirmed aliases to a common brand identity. Never equate two 96 codes without matching names. Leave unknown, missing, unresolved and no-ideal pairs out of the paired denominator; display their counts separately.</w:t>
      </w:r>
    </w:p>
    <w:p>
      <w:pPr/>
      <w:r>
        <w:t>Use exactly the same paired-known episode base to compare actual and ideal brand shares. For brand b, preference fulfilment is the weighted count with ideal=b and actual=b divided by the weighted count with ideal=b and known actual; label it fulfilment among that brand’s ideal preferrers, not market conversion. The overall gap rate is weighted choice_gap=1 divided by weighted valid choice_gap in {0,1}. Retain Other as named identities internally even if displayed as an aggregated Other bar.</w:t>
      </w:r>
    </w:p>
    <w:p>
      <w:pPr>
        <w:pStyle w:val="Heading2"/>
        <w:keepNext/>
      </w:pPr>
      <w:r>
        <w:t>Conditional reasons and interpretation</w:t>
      </w:r>
    </w:p>
    <w:p>
      <w:pPr/>
      <w:r>
        <w:t>Ask E6 only when choice_gap=1. The ten choice_barrier_rXX fields form an MR set with selected value 1, valid nonselection 0 and blank for unasked. choice_barrier_none and choice_barrier_dk are exclusive flags outside that set. choice_barrier_other is populated only when r10=1. Use the questionnaire’s exact category-specific labels. Each reason percentage uses all gap respondents with a completed E6 answer, including exclusive None and Cannot recall in the disclosed base; show those two states separately. Multiple reasons can sum above 100%. Report E6 nonresponse among eligible gaps separately, never as no constraint.</w:t>
      </w:r>
    </w:p>
    <w:p>
      <w:pPr/>
      <w:r>
        <w:t>For brand-specific reason charts, filter to ideal=b, known actual and choice_gap=1 before calculating the E6 denominator. These are self-reported reasons, not causal proof that practical restrictions rather than brand weakness explain a choice. Keep new information, familiar-provider preference and household influence distinct from price or access constraints. Do not combine the added constructs into a proprietary or Kantar-style score.</w:t>
      </w:r>
    </w:p>
    <w:p>
      <w:pPr>
        <w:pStyle w:val="Heading2"/>
        <w:keepNext/>
      </w:pPr>
      <w:r>
        <w:t>Extension display and validation</w:t>
      </w:r>
    </w:p>
    <w:p>
      <w:pPr/>
      <w:r>
        <w:t>Show raw n, weighted base and effective base; retain the existing small-base rules of flagging raw n&lt;50 and suppressing numeric inference below 30. Zero denominators display Not available, not 0%. Apply the same wave, brand, filter and weighting selections to new modules. Use the separate Claude dashboard extension guide for implementation: extend the current app, retain its fonts, layout, palette and existing quadrant/driver features, and add no mandatory JSON or manual-mapping step.</w:t>
      </w:r>
    </w:p>
    <w:p>
      <w:pPr/>
      <w:r>
        <w:t>The existing Insights Elevator Brand Dashboard Visual Plan PDF is preserved unchanged. The new Claude guide takes precedence only for the new modules and does not replace the original dashboard design or instructions.</w:t>
      </w:r>
    </w:p>
    <w:p>
      <w:pPr/>
      <w:r>
        <w:t>Validation must cover the 49-field inventory, exact labels/codes, unaware blanks, code-9 handling, recent-episode route, resolved Other identity matches, mutually exclusive reason options, conditional text, unchanged original IDs/values, and all three waves. Reconcile new chart numerators and denominators independently of the UI; fixture checks are not evidence that the application itself has passed.</w:t>
      </w:r>
    </w:p>
    <w:p>
      <w:pPr>
        <w:pStyle w:val="Heading1"/>
      </w:pPr>
      <w:r>
        <w:t>Memory measures and their limits</w:t>
      </w:r>
    </w:p>
    <w:p>
      <w:r>
        <w:t>General unaided recall, prompted recognition and cue-specific brand recall are different tasks. In this instrument all cue recalls precede named-brand displays. The brand universe is bounded to ten tracked brands plus Other. Other has flags and text but no stable multi-brand identity, so mental market share is explicitly share of tracked-brand links. It is not an unrestricted market-memory share.</w:t>
      </w:r>
    </w:p>
    <w:p>
      <w:r>
        <w:t>Let L_ib be respondent i’s number of links to brand b across the 12 asked situations. Average links among all=sum(w_i L_ib)/sum(w_i). Mental penetration=sum(w_i 1[L_ib&gt;0])/sum(w_i). Network size=sum(w_i L_ib)/sum(w_i 1[L_ib&gt;0]). Mental market share=sum(w_i L_ib)/sum_b sum_i(w_i L_ib). The first three obey average links=mental penetration as a share × network size. These distinguish reach from breadth (Romaniuk, 2022).</w:t>
      </w:r>
    </w:p>
    <w:p>
      <w:r>
        <w:t>The provisional category cues need qualitative elicitation and a pilot before real commissioning. The Institute describes an elicitation stage followed by quantification and competitive measurement (Ehrenberg-Bass Institute for Marketing Science, n.d.). The fixture’s generated links exercise arithmetic and interfaces; they do not validate a theory, a questionnaire or actual mental availability.</w:t>
      </w:r>
    </w:p>
    <w:p>
      <w:pPr>
        <w:pStyle w:val="Heading1"/>
      </w:pPr>
      <w:r>
        <w:t>Positioning and fingerprint</w:t>
      </w:r>
    </w:p>
    <w:p>
      <w:r>
        <w:t>The fingerprint controls descriptively for how often a brand and situation are selected overall. It is not a causality or significance test. Correspondence analysis uses the weighted attribute–brand count table, normalises to joint proportions, centres by independence expectations and decomposes standardised residuals by SVD. Coordinates are symmetric principal coordinates. Axis signs are arbitrary and fixed toward BMW positive for reproducibility. Interpret brand–attribute relations jointly and disclose axis inertia. Do not treat distances as purchase probabilities or exact similarity scores.</w:t>
      </w:r>
    </w:p>
    <w:p>
      <w:pPr>
        <w:pStyle w:val="Heading1"/>
      </w:pPr>
      <w:r>
        <w:t>Planted demonstration patterns</w:t>
      </w:r>
    </w:p>
    <w:p>
      <w:r>
        <w:t>BMW has stronger associations with premium quality, driving enjoyment and technology, and its synthetic consideration and technology-linked memory rise across waves. Haval grows in recognition and advertising recall. Volkswagen receives a worsening WOM distribution. Suzuki is more linked with running-cost and budget cues. These are simulation assumptions, not findings about those brands. Sampling variation means every individual percentage need not move monotonically.</w:t>
      </w:r>
    </w:p>
    <w:p>
      <w:pPr>
        <w:pStyle w:val="Heading1"/>
      </w:pPr>
      <w:r>
        <w:t>Validation and provenance</w:t>
      </w:r>
    </w:p>
    <w:p>
      <w:r>
        <w:t>validate_pack.py reopens exported files and checks schemas, raw codes, identifiers, logical nesting, routes, codebook completeness and reference values. reference_results.json and Reference_Metrics.xlsx contain numerator, denominator, raw base, units and weighting for each result. Positioning references include coordinates and inertia. No proprietary claims are inferred from screenshots, including their inconsistent navigation labels. The original coffee files are unchanged.</w:t>
      </w:r>
    </w:p>
    <w:p>
      <w:pPr>
        <w:pStyle w:val="Heading1"/>
      </w:pPr>
      <w:r>
        <w:t>References</w:t>
      </w:r>
    </w:p>
    <w:p>
      <w:pPr>
        <w:ind w:left="360" w:hanging="360"/>
      </w:pPr>
      <w:r>
        <w:t xml:space="preserve">Romaniuk, J. (2022). </w:t>
      </w:r>
      <w:r>
        <w:rPr>
          <w:i/>
        </w:rPr>
        <w:t>Category entry points in a business-to-business (B2B) world.</w:t>
      </w:r>
      <w:r>
        <w:t xml:space="preserve"> Ehrenberg-Bass Institute for Marketing Science. https://marketingscience.info/news-and-insights/category-entry-points-in-a-business-to-business-b2b-world</w:t>
      </w:r>
    </w:p>
    <w:p>
      <w:pPr>
        <w:ind w:left="360" w:hanging="360"/>
      </w:pPr>
      <w:r>
        <w:t xml:space="preserve">Ehrenberg-Bass Institute for Marketing Science. (n.d.). </w:t>
      </w:r>
      <w:r>
        <w:rPr>
          <w:i/>
        </w:rPr>
        <w:t>Identifying and prioritising category entry points.</w:t>
      </w:r>
      <w:r>
        <w:t xml:space="preserve">  https://marketingscience.info/learn-with-us/commercial-research/identifying-and-prioritising-category-entry-points</w:t>
      </w:r>
    </w:p>
    <w:p>
      <w:pPr>
        <w:ind w:left="360" w:hanging="360"/>
      </w:pPr>
      <w:r>
        <w:t xml:space="preserve">Timelaps. (n.d.). </w:t>
      </w:r>
      <w:r>
        <w:rPr>
          <w:i/>
        </w:rPr>
        <w:t>Timelaps report [Interactive demonstration].</w:t>
      </w:r>
      <w:r>
        <w:t xml:space="preserve">  https://demo.timelaps.io/home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BMW car brand tracker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