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OUTsurance personal motor and home insurance tracking research brief</w:t>
      </w:r>
    </w:p>
    <w:p>
      <w:r>
        <w:t>Mock agency invitation from the Research and Customer Insights Manager | 15 January 2026</w:t>
      </w:r>
    </w:p>
    <w:p>
      <w:r>
        <w:t>We invite proposals for a three-wave tracker to help OUTsurance understand its competitive position in South Africa. We need evidence to guide communication, propositions and service priorities. This is a fictional client brief for demonstration, not a document issued by OUTsurance.</w:t>
      </w:r>
    </w:p>
    <w:p>
      <w:pPr>
        <w:pStyle w:val="Heading1"/>
      </w:pPr>
      <w:r>
        <w:t>The business decisions</w:t>
      </w:r>
    </w:p>
    <w:p>
      <w:r>
        <w:t>Which buying situations should our communications address? Where do consumers drop out between awareness and serious consideration? Which perceptions and service experiences warrant attention? Which audiences and channels deserve further investigation? We want a clear separation between what the evidence shows and what should be tested before investment.</w:t>
      </w:r>
    </w:p>
    <w:p>
      <w:pPr>
        <w:pStyle w:val="Heading1"/>
      </w:pPr>
      <w:r>
        <w:t>Objectives</w:t>
      </w:r>
    </w:p>
    <w:p>
      <w:pPr>
        <w:pStyle w:val="ListBullet"/>
      </w:pPr>
      <w:r>
        <w:t>Measure first-mentioned, total spontaneous and prompted brand awareness separately.</w:t>
      </w:r>
    </w:p>
    <w:p>
      <w:pPr>
        <w:pStyle w:val="ListBullet"/>
      </w:pPr>
      <w:r>
        <w:t>Track next-choice consideration, serious shortlist and first choice, separately from current use and recent starts.</w:t>
      </w:r>
    </w:p>
    <w:p>
      <w:pPr>
        <w:pStyle w:val="ListBullet"/>
      </w:pPr>
      <w:r>
        <w:t>Measure relevant buying situations and brands recalled for each, with mental penetration, breadth and share of tracked links.</w:t>
      </w:r>
    </w:p>
    <w:p>
      <w:pPr>
        <w:pStyle w:val="ListBullet"/>
      </w:pPr>
      <w:r>
        <w:t>Compare image associations, rejection, advertising recall and word of mouth.</w:t>
      </w:r>
    </w:p>
    <w:p>
      <w:pPr>
        <w:pStyle w:val="ListBullet"/>
      </w:pPr>
      <w:r>
        <w:t>Understand current customers, recent starters, multi-provider relationships, decision style, access channels and media use.</w:t>
      </w:r>
    </w:p>
    <w:p>
      <w:pPr>
        <w:pStyle w:val="ListBullet"/>
      </w:pPr>
      <w:r>
        <w:t>Track change across waves using stable definitions, disclosed bases and uncertainty.</w:t>
      </w:r>
    </w:p>
    <w:p>
      <w:pPr>
        <w:pStyle w:val="ListBullet"/>
      </w:pPr>
      <w:r>
        <w:t>Measure whether each known brand meets personal needs for personal motor or home insurance and offers something meaningfully different from alternatives. Keep these direct ratings separate from generic attribute associations.</w:t>
      </w:r>
    </w:p>
    <w:p>
      <w:pPr>
        <w:pStyle w:val="ListBullet"/>
      </w:pPr>
      <w:r>
        <w:t>Compare the brand ideally preferred at the time with the brand actually chosen for the same most recent new or replacement personal motor or home insurance policy start in the past 12 months; capture reported reasons when the brands differ.</w:t>
      </w:r>
    </w:p>
    <w:p>
      <w:pPr>
        <w:pStyle w:val="ListBullet"/>
      </w:pPr>
      <w:r>
        <w:t>Measure perceived justification of premiums for comparable cover relative to comparable alternatives. Retain the existing good-value association as a different measure.</w:t>
      </w:r>
    </w:p>
    <w:p>
      <w:pPr>
        <w:pStyle w:val="Heading1"/>
      </w:pPr>
      <w:r>
        <w:t>Scope and sample</w:t>
      </w:r>
    </w:p>
    <w:p>
      <w:r>
        <w:t>Adults aged 18–69 who solely or jointly choose household motor, home-buildings, home-contents or portable-possession cover and currently hold eligible cover or expect to take it out in the next 12 months. Exclude life, funeral, medical, retirement and business-only cover.</w:t>
      </w:r>
    </w:p>
    <w:p>
      <w:r>
        <w:t>Propose 1,000 independent respondents per wave in February, June and October 2026. Explain recruitment coverage, quotas, weighting targets, quality controls and the precision available for key subgroups. Include light users and people using competitors. Any client-customer boost must be separately identified with combination weights. The supplied synthetic demonstration has no booster and no externally calibrated population weights.</w:t>
      </w:r>
    </w:p>
    <w:p>
      <w:r>
        <w:t>Recent starts mean new or replacement policy start in the past 12 months. New policy starts, renewal, current cover and claims are different events. Do not call them purchase frequency.</w:t>
      </w:r>
    </w:p>
    <w:p>
      <w:r/>
    </w:p>
    <w:p>
      <w:pPr>
        <w:pStyle w:val="Heading1"/>
      </w:pPr>
      <w:r>
        <w:t>Brand and measurement requirements</w:t>
      </w:r>
    </w:p>
    <w:p>
      <w:r>
        <w:t>Tracked consumer brands: Santam, Hollard, MiWay, Budget Insurance, Auto &amp; General, Dialdirect, Discovery Insure, OUTsurance, Naked, King Price. Include Other, None and Do not know as appropriate. This is a bounded competitive set, not a complete legal-entity register. This is a consumer-brand tracker, not a registry of independent underwriting groups. Brands may share owners or underwriters and must not be treated as independent corroborating sources. No life, funeral or health results can be inferred. A renewal without taking new or replacement cover does not count as a new-policy start.</w:t>
      </w:r>
    </w:p>
    <w:p>
      <w:r>
        <w:t>Do not show the sponsor or brand list before general unaided and buying-situation recall. Separate unprompted retrieval from prompted image. Please refine the proposed cues through elicitation and pilot the full interview before committing to a fieldwork duration. Avoid changing the core design between waves without an overlap bridge.</w:t>
      </w:r>
    </w:p>
    <w:p>
      <w:pPr>
        <w:pStyle w:val="Heading1"/>
        <w:keepNext/>
      </w:pPr>
      <w:r>
        <w:t>Additional measurement requirements</w:t>
      </w:r>
    </w:p>
    <w:p>
      <w:pPr/>
      <w:r>
        <w:t>Add E1 needs fit, E2 meaningful differentiation and E3 price justification after the existing association tasks, never before unaided recall. Ask each rating only for brands the respondent recognises, with five fully labelled agreement points and an explicit cannot-judge option. E3 must offer “Not familiar enough with its prices to judge”. Pilot the added burden and timing; do not assume the former interview length still applies.</w:t>
      </w:r>
    </w:p>
    <w:p>
      <w:pPr/>
      <w:r>
        <w:t>Place E4 actual choice, E5 ideal choice and E6 reasons immediately after the recent acquisition or start questions. Use last_acquired=1 to identify the past-12 months episode, and select the most recent event if several occurred. Ask actual brand afresh; do not substitute the main provider, current ownership or any brand in a multiple-response recent-start list. Ask ideal brand retrospectively for that exact event before practical restrictions, not as a future wish. Existing future first choice is unchanged.</w:t>
      </w:r>
    </w:p>
    <w:p>
      <w:pPr/>
      <w:r>
        <w:t>These are separate generic constructs, not a proprietary brand-equity model or a Kantar score. Perceived price justification does not measure willingness to pay, price elasticity or actual pricing power. A reported preference gap and reasons can suggest practical restrictions or a changed decision, but cannot causally establish that a brand is weak or strong.</w:t>
      </w:r>
    </w:p>
    <w:p>
      <w:pPr>
        <w:pStyle w:val="Heading1"/>
      </w:pPr>
      <w:r>
        <w:t>Required outputs</w:t>
      </w:r>
    </w:p>
    <w:p>
      <w:pPr>
        <w:pStyle w:val="ListBullet"/>
      </w:pPr>
      <w:r>
        <w:t>Questionnaire with exact wording, routing, response types, grids and randomisation.</w:t>
      </w:r>
    </w:p>
    <w:p>
      <w:pPr>
        <w:pStyle w:val="ListBullet"/>
      </w:pPr>
      <w:r>
        <w:t>Three respondent-level Excel datasets with stable codes, embedded labels, explicit MR sets and a master codebook.</w:t>
      </w:r>
    </w:p>
    <w:p>
      <w:pPr>
        <w:pStyle w:val="ListBullet"/>
      </w:pPr>
      <w:r>
        <w:t>Competitive funnel, conditional stage ratios, wave trends, unfamiliarity and rejection.</w:t>
      </w:r>
    </w:p>
    <w:p>
      <w:pPr>
        <w:pStyle w:val="ListBullet"/>
      </w:pPr>
      <w:r>
        <w:t>Buying-situation relevance, brand links, mental-availability measures, fingerprint and perceptual map.</w:t>
      </w:r>
    </w:p>
    <w:p>
      <w:pPr>
        <w:pStyle w:val="ListBullet"/>
      </w:pPr>
      <w:r>
        <w:t>Advertising and WOM, category behaviour, current/recent customer profiles and media use.</w:t>
      </w:r>
    </w:p>
    <w:p>
      <w:pPr>
        <w:pStyle w:val="ListBullet"/>
      </w:pPr>
      <w:r>
        <w:t>Editable report and slides with traceable chart data, bases, caveats and actionable priorities.</w:t>
      </w:r>
    </w:p>
    <w:p>
      <w:pPr>
        <w:pStyle w:val="ListBullet"/>
      </w:pPr>
      <w:r>
        <w:t>Add separate needs-fit, differentiation and price-justification distributions, top-two-box ratings and trends, plus same-episode ideal versus actual brand shares, brand-specific preference fulfilment and conditional reasons. Show valid, unknown and routed bases separately. Deliver the written Claude extension guide while retaining existing dashboard features and visual design.</w:t>
      </w:r>
    </w:p>
    <w:p>
      <w:pPr>
        <w:pStyle w:val="Heading1"/>
      </w:pPr>
      <w:r>
        <w:t>Proposal and governance</w:t>
      </w:r>
    </w:p>
    <w:p>
      <w:r>
        <w:t>Please submit the design, exclusions, timetable, named team, sample plan, pilot and quality checks, data-processing specification and itemised costs. Separate setup, each wave, optional boosts and extras. We will judge methodological fit, interpretation, clarity of delivery, reproducibility and price. In real fieldwork, agree consent, applicable privacy obligations, retention, access and secure transfer before collection. No access to our customers or systems is implied by this mock brief.</w:t>
      </w:r>
    </w:p>
    <w:p>
      <w:pPr>
        <w:pStyle w:val="Heading1"/>
      </w:pPr>
      <w:r>
        <w:t>Acceptance criteria</w:t>
      </w:r>
    </w:p>
    <w:p>
      <w:r>
        <w:t>Every figure must trace to a variable, wave, numerator and denominator. No unsupported causal advertising-effectiveness claim. No mixing of current use, new starts, renewal and activity. Disclose small bases and preserve human interpretation separately from automated drafts. The independent reference calculations accompany the synthetic pack for system testing, not as a mandatory component of a real agency submission.</w:t>
      </w:r>
    </w:p>
    <w:p>
      <w:pPr/>
      <w:r>
        <w:t>The additive test pack retains 1,000 synthetic respondents per wave across three waves, all original IDs and original field values. New extension values are demonstration fixtures, not observed brand evidence. Test the added fields, coding and routes alongside the existing measures.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South African brand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